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B37220" w14:textId="5C139BC8" w:rsidR="004544E5" w:rsidRPr="0052548E" w:rsidRDefault="004544E5" w:rsidP="004544E5">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#97</w:t>
      </w:r>
      <w:r>
        <w:rPr>
          <w:rFonts w:ascii="Arial" w:hAnsi="Arial" w:cs="Arial"/>
          <w:b/>
          <w:bCs/>
          <w:sz w:val="28"/>
        </w:rPr>
        <w:tab/>
      </w:r>
      <w:r>
        <w:rPr>
          <w:rFonts w:ascii="Arial" w:hAnsi="Arial" w:cs="Arial"/>
          <w:b/>
          <w:bCs/>
          <w:sz w:val="28"/>
        </w:rPr>
        <w:tab/>
      </w:r>
      <w:r>
        <w:rPr>
          <w:rFonts w:ascii="Arial" w:hAnsi="Arial" w:cs="Arial"/>
          <w:b/>
          <w:bCs/>
          <w:sz w:val="28"/>
        </w:rPr>
        <w:tab/>
      </w:r>
      <w:r w:rsidRPr="003279E4">
        <w:rPr>
          <w:rFonts w:ascii="Arial" w:hAnsi="Arial" w:cs="Arial"/>
          <w:b/>
          <w:bCs/>
          <w:sz w:val="28"/>
        </w:rPr>
        <w:t>R1-19</w:t>
      </w:r>
      <w:r w:rsidR="00D062D8" w:rsidRPr="003279E4">
        <w:rPr>
          <w:rFonts w:ascii="Arial" w:hAnsi="Arial" w:cs="Arial"/>
          <w:b/>
          <w:bCs/>
          <w:sz w:val="28"/>
        </w:rPr>
        <w:t>07</w:t>
      </w:r>
      <w:r w:rsidR="003279E4" w:rsidRPr="003279E4">
        <w:rPr>
          <w:rFonts w:ascii="Arial" w:hAnsi="Arial" w:cs="Arial"/>
          <w:b/>
          <w:bCs/>
          <w:sz w:val="28"/>
        </w:rPr>
        <w:t>251</w:t>
      </w:r>
    </w:p>
    <w:p w14:paraId="442DE01C" w14:textId="77777777" w:rsidR="004544E5" w:rsidRPr="009513AC" w:rsidRDefault="004544E5" w:rsidP="004544E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bookmarkStart w:id="2" w:name="_GoBack"/>
      <w:bookmarkEnd w:id="2"/>
    </w:p>
    <w:p w14:paraId="2EFB6BA3" w14:textId="77777777" w:rsidR="004544E5" w:rsidRPr="00A44DC8" w:rsidRDefault="004544E5" w:rsidP="004544E5">
      <w:pPr>
        <w:tabs>
          <w:tab w:val="left" w:pos="1701"/>
          <w:tab w:val="right" w:pos="9072"/>
          <w:tab w:val="right" w:pos="10206"/>
        </w:tabs>
        <w:rPr>
          <w:rFonts w:ascii="Arial" w:hAnsi="Arial"/>
          <w:b/>
          <w:sz w:val="18"/>
        </w:rPr>
      </w:pPr>
    </w:p>
    <w:p w14:paraId="798521FD" w14:textId="61066E14" w:rsidR="00BF0E22" w:rsidRPr="000A64D8" w:rsidRDefault="00BF0E22" w:rsidP="00BF0E22">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Pr>
          <w:rFonts w:ascii="Arial" w:hAnsi="Arial"/>
          <w:sz w:val="24"/>
        </w:rPr>
        <w:t>7.1.5</w:t>
      </w:r>
    </w:p>
    <w:p w14:paraId="0375EB63" w14:textId="77777777" w:rsidR="00BF0E22" w:rsidRPr="000A64D8" w:rsidRDefault="00BF0E22" w:rsidP="00BF0E22">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DD3EDD5" w14:textId="46408E7C" w:rsidR="00BF0E22" w:rsidRPr="00D413A4" w:rsidRDefault="00BF0E22" w:rsidP="00BF0E22">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17A9F">
        <w:rPr>
          <w:rFonts w:ascii="Arial" w:hAnsi="Arial"/>
          <w:sz w:val="22"/>
        </w:rPr>
        <w:t>Discussion</w:t>
      </w:r>
      <w:r>
        <w:rPr>
          <w:rFonts w:ascii="Arial" w:hAnsi="Arial"/>
          <w:sz w:val="22"/>
        </w:rPr>
        <w:t xml:space="preserve"> on PHR in EN-DC</w:t>
      </w:r>
    </w:p>
    <w:p w14:paraId="2657FF6A" w14:textId="7E5D2168" w:rsidR="00BF0E22" w:rsidRDefault="00BF0E22" w:rsidP="00BF0E22">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p>
    <w:p w14:paraId="26881B39" w14:textId="77777777" w:rsidR="00C34C05" w:rsidRPr="00183CB7" w:rsidRDefault="00FD6A3D" w:rsidP="000A3CBA">
      <w:pPr>
        <w:pStyle w:val="Heading1"/>
        <w:jc w:val="both"/>
      </w:pPr>
      <w:r w:rsidRPr="00183CB7">
        <w:t>Introduction</w:t>
      </w:r>
      <w:bookmarkEnd w:id="0"/>
      <w:bookmarkEnd w:id="1"/>
    </w:p>
    <w:p w14:paraId="729BBDBE" w14:textId="27AC27D4" w:rsidR="00A578FA" w:rsidRDefault="00C43315" w:rsidP="00C43315">
      <w:pPr>
        <w:widowControl w:val="0"/>
        <w:jc w:val="both"/>
      </w:pPr>
      <w:r>
        <w:t xml:space="preserve"> </w:t>
      </w:r>
      <w:r w:rsidR="00A578FA">
        <w:t>A LS, R</w:t>
      </w:r>
      <w:r w:rsidR="00DD2942">
        <w:t>1</w:t>
      </w:r>
      <w:r w:rsidR="00A578FA">
        <w:t>-1</w:t>
      </w:r>
      <w:r w:rsidR="00DD2942">
        <w:t>901487[</w:t>
      </w:r>
      <w:r w:rsidR="00B053E9">
        <w:t>1]</w:t>
      </w:r>
      <w:r w:rsidR="00A578FA">
        <w:t xml:space="preserve">, </w:t>
      </w:r>
      <w:r w:rsidR="006D1BC9">
        <w:t>was</w:t>
      </w:r>
      <w:r w:rsidR="00A578FA">
        <w:t xml:space="preserve"> received from RAN2 on PHR procedure in dual-connectivity, concerning the PHR procedure in EN-DC. It was stated that </w:t>
      </w:r>
    </w:p>
    <w:p w14:paraId="23CB5084" w14:textId="77777777" w:rsidR="00A578FA" w:rsidRPr="00A578FA" w:rsidRDefault="00A578FA" w:rsidP="00A578FA">
      <w:pPr>
        <w:pStyle w:val="Header"/>
        <w:spacing w:after="120"/>
        <w:ind w:left="288"/>
        <w:jc w:val="both"/>
        <w:rPr>
          <w:rFonts w:ascii="Times New Roman" w:hAnsi="Times New Roman"/>
          <w:b w:val="0"/>
          <w:i/>
          <w:sz w:val="20"/>
        </w:rPr>
      </w:pPr>
      <w:r w:rsidRPr="00A578FA">
        <w:rPr>
          <w:rFonts w:ascii="Times New Roman" w:hAnsi="Times New Roman"/>
          <w:b w:val="0"/>
          <w:i/>
          <w:sz w:val="20"/>
        </w:rPr>
        <w:t>RAN2 has discussed and agreed to the following change to LTE PHR procedure for EN-DC:</w:t>
      </w:r>
    </w:p>
    <w:p w14:paraId="49DC9CD0" w14:textId="77777777" w:rsidR="00A578FA" w:rsidRPr="00A578FA" w:rsidRDefault="00A578FA" w:rsidP="00A578FA">
      <w:pPr>
        <w:pStyle w:val="Header"/>
        <w:spacing w:after="120"/>
        <w:ind w:left="648"/>
        <w:jc w:val="both"/>
        <w:rPr>
          <w:rFonts w:ascii="Times New Roman" w:hAnsi="Times New Roman"/>
          <w:b w:val="0"/>
          <w:i/>
          <w:sz w:val="20"/>
        </w:rPr>
      </w:pPr>
      <w:r w:rsidRPr="00A578FA">
        <w:rPr>
          <w:rFonts w:ascii="Times New Roman" w:hAnsi="Times New Roman"/>
          <w:b w:val="0"/>
          <w:i/>
          <w:sz w:val="20"/>
        </w:rPr>
        <w:t xml:space="preserve">After a PHR is triggered, if </w:t>
      </w:r>
      <w:r w:rsidRPr="00A578FA">
        <w:rPr>
          <w:rFonts w:ascii="Times New Roman" w:hAnsi="Times New Roman"/>
          <w:b w:val="0"/>
          <w:i/>
          <w:sz w:val="20"/>
          <w:lang w:eastAsia="ja-JP"/>
        </w:rPr>
        <w:t xml:space="preserve">dualConnectivityPHR </w:t>
      </w:r>
      <w:r w:rsidRPr="00A578FA">
        <w:rPr>
          <w:rFonts w:ascii="Times New Roman" w:hAnsi="Times New Roman"/>
          <w:b w:val="0"/>
          <w:i/>
          <w:sz w:val="20"/>
        </w:rPr>
        <w:t xml:space="preserve">is configured, UE needs to report power headroom information of all activated LTE and NR serving cells.  For a NR serving cell, whether UE reports its PH value based on real transmission or reference format is determined based on UL transmissions </w:t>
      </w:r>
      <w:bookmarkStart w:id="3" w:name="_Hlk530061386"/>
      <w:r w:rsidRPr="00A578FA">
        <w:rPr>
          <w:rFonts w:ascii="Times New Roman" w:hAnsi="Times New Roman"/>
          <w:b w:val="0"/>
          <w:i/>
          <w:sz w:val="20"/>
        </w:rPr>
        <w:t xml:space="preserve">that have been scheduled or configured </w:t>
      </w:r>
      <w:bookmarkEnd w:id="3"/>
      <w:r w:rsidRPr="00A578FA">
        <w:rPr>
          <w:rFonts w:ascii="Times New Roman" w:hAnsi="Times New Roman"/>
          <w:b w:val="0"/>
          <w:i/>
          <w:sz w:val="20"/>
        </w:rPr>
        <w:t>until 4 ms prior to the TTI in which the PHR MAC CE is transmitted.</w:t>
      </w:r>
    </w:p>
    <w:p w14:paraId="2F78AEA1" w14:textId="77777777" w:rsidR="00A578FA" w:rsidRPr="00A578FA" w:rsidRDefault="00A578FA" w:rsidP="00A578FA">
      <w:pPr>
        <w:pStyle w:val="Header"/>
        <w:spacing w:after="120"/>
        <w:ind w:left="288"/>
        <w:jc w:val="both"/>
        <w:rPr>
          <w:rFonts w:ascii="Times New Roman" w:hAnsi="Times New Roman"/>
          <w:b w:val="0"/>
          <w:i/>
          <w:sz w:val="20"/>
        </w:rPr>
      </w:pPr>
      <w:r w:rsidRPr="00A578FA">
        <w:rPr>
          <w:rFonts w:ascii="Times New Roman" w:hAnsi="Times New Roman"/>
          <w:b w:val="0"/>
          <w:i/>
          <w:sz w:val="20"/>
        </w:rPr>
        <w:t>In addition, RAN2 has discussed and agreed to the following change to both LTE and NR PHR procedure:</w:t>
      </w:r>
    </w:p>
    <w:p w14:paraId="43D032E0" w14:textId="77777777" w:rsidR="00A578FA" w:rsidRPr="00A578FA" w:rsidRDefault="00A578FA" w:rsidP="00A578FA">
      <w:pPr>
        <w:pStyle w:val="Header"/>
        <w:spacing w:after="120"/>
        <w:ind w:left="648"/>
        <w:jc w:val="both"/>
        <w:rPr>
          <w:rFonts w:ascii="Times New Roman" w:hAnsi="Times New Roman"/>
          <w:b w:val="0"/>
          <w:i/>
          <w:sz w:val="20"/>
        </w:rPr>
      </w:pPr>
      <w:r w:rsidRPr="00A578FA">
        <w:rPr>
          <w:rFonts w:ascii="Times New Roman" w:hAnsi="Times New Roman"/>
          <w:b w:val="0"/>
          <w:i/>
          <w:sz w:val="20"/>
        </w:rPr>
        <w:t xml:space="preserve">For a band combination in which a UE is not capable of dynamic power sharing, the UE may omit reporting power headroom information for serving cells in the other MAC entity. </w:t>
      </w:r>
    </w:p>
    <w:p w14:paraId="4CB545D9" w14:textId="77777777" w:rsidR="00A921D7" w:rsidRDefault="00A921D7" w:rsidP="00C43315">
      <w:pPr>
        <w:widowControl w:val="0"/>
        <w:jc w:val="both"/>
      </w:pPr>
    </w:p>
    <w:p w14:paraId="5F1709B1" w14:textId="03FB42A8" w:rsidR="004C3FD9" w:rsidRPr="00DC2B97" w:rsidRDefault="00F17A9F" w:rsidP="00C43315">
      <w:pPr>
        <w:widowControl w:val="0"/>
        <w:jc w:val="both"/>
        <w:rPr>
          <w:i/>
          <w:lang w:eastAsia="zh-CN"/>
        </w:rPr>
      </w:pPr>
      <w:r>
        <w:t xml:space="preserve">The above PHR procedure in EN-DC has been discussed in RAN1. In particular, it has been realized that UEs may not have enough time to process LTE UL data that carries the NR PHR </w:t>
      </w:r>
      <w:r w:rsidR="006D1BC9">
        <w:t>because</w:t>
      </w:r>
      <w:r>
        <w:t xml:space="preserve"> TPC commands close to the actual UL transmissions need to be included in the NR PHR calculation. In this document, we </w:t>
      </w:r>
      <w:r w:rsidR="004544E5">
        <w:t xml:space="preserve">discuss </w:t>
      </w:r>
      <w:r w:rsidR="003E7374">
        <w:t>solutions to the timeline problem</w:t>
      </w:r>
      <w:r w:rsidR="004544E5">
        <w:t xml:space="preserve"> in terms of impacts on UE implementations and network scheduling. </w:t>
      </w:r>
    </w:p>
    <w:p w14:paraId="471F2F03" w14:textId="77777777" w:rsidR="004C3FD9" w:rsidRDefault="004C3FD9" w:rsidP="0099132E"/>
    <w:p w14:paraId="0DBA759E" w14:textId="371002A2" w:rsidR="0089193F" w:rsidRDefault="00DC4ADC" w:rsidP="00490E33">
      <w:pPr>
        <w:pStyle w:val="Heading1"/>
        <w:pBdr>
          <w:top w:val="single" w:sz="12" w:space="31" w:color="auto"/>
        </w:pBdr>
        <w:jc w:val="both"/>
      </w:pPr>
      <w:bookmarkStart w:id="4" w:name="_Ref473802466"/>
      <w:bookmarkStart w:id="5" w:name="_Ref462669569"/>
      <w:r>
        <w:t>Discuss</w:t>
      </w:r>
      <w:r w:rsidR="00560E36">
        <w:t>ions</w:t>
      </w:r>
    </w:p>
    <w:p w14:paraId="7C41CA3E" w14:textId="77777777" w:rsidR="000350EC" w:rsidRPr="000350EC" w:rsidRDefault="000350EC" w:rsidP="000350EC">
      <w:pPr>
        <w:rPr>
          <w:lang w:val="en-GB"/>
        </w:rPr>
      </w:pPr>
    </w:p>
    <w:p w14:paraId="54CF331D" w14:textId="7489FB0E" w:rsidR="00576592" w:rsidRPr="00576592" w:rsidRDefault="000F0C8B" w:rsidP="000350EC">
      <w:pPr>
        <w:pStyle w:val="Heading2"/>
      </w:pPr>
      <w:r>
        <w:t>TPC Accumulation</w:t>
      </w:r>
    </w:p>
    <w:p w14:paraId="24E676D3" w14:textId="38B956EA" w:rsidR="00883FB8" w:rsidRDefault="00506656" w:rsidP="00284CD4">
      <w:pPr>
        <w:pStyle w:val="Default"/>
        <w:rPr>
          <w:sz w:val="20"/>
          <w:szCs w:val="20"/>
          <w:lang w:val="en-GB"/>
        </w:rPr>
      </w:pPr>
      <w:r>
        <w:rPr>
          <w:sz w:val="20"/>
          <w:szCs w:val="20"/>
          <w:lang w:val="en-GB"/>
        </w:rPr>
        <w:t xml:space="preserve">For both PH based on a real transmission and PH based on a reference transmission, TPC accumulation, </w:t>
      </w:r>
      <w:r w:rsidRPr="00506656">
        <w:rPr>
          <w:i/>
          <w:sz w:val="20"/>
          <w:szCs w:val="20"/>
          <w:lang w:val="en-GB"/>
        </w:rPr>
        <w:t>f(</w:t>
      </w:r>
      <w:proofErr w:type="spellStart"/>
      <w:proofErr w:type="gramStart"/>
      <w:r w:rsidRPr="00506656">
        <w:rPr>
          <w:i/>
          <w:sz w:val="20"/>
          <w:szCs w:val="20"/>
          <w:lang w:val="en-GB"/>
        </w:rPr>
        <w:t>i,l</w:t>
      </w:r>
      <w:proofErr w:type="spellEnd"/>
      <w:proofErr w:type="gramEnd"/>
      <w:r w:rsidRPr="00506656">
        <w:rPr>
          <w:i/>
          <w:sz w:val="20"/>
          <w:szCs w:val="20"/>
          <w:lang w:val="en-GB"/>
        </w:rPr>
        <w:t>)</w:t>
      </w:r>
      <w:r>
        <w:rPr>
          <w:sz w:val="20"/>
          <w:szCs w:val="20"/>
          <w:lang w:val="en-GB"/>
        </w:rPr>
        <w:t xml:space="preserve"> is needed. For DCI scheduled UL transmission, </w:t>
      </w:r>
      <w:r w:rsidR="00883FB8" w:rsidRPr="00506656">
        <w:rPr>
          <w:i/>
          <w:sz w:val="20"/>
          <w:szCs w:val="20"/>
          <w:lang w:val="en-GB"/>
        </w:rPr>
        <w:t>f(</w:t>
      </w:r>
      <w:proofErr w:type="spellStart"/>
      <w:r w:rsidR="00883FB8" w:rsidRPr="00506656">
        <w:rPr>
          <w:i/>
          <w:sz w:val="20"/>
          <w:szCs w:val="20"/>
          <w:lang w:val="en-GB"/>
        </w:rPr>
        <w:t>i,l</w:t>
      </w:r>
      <w:proofErr w:type="spellEnd"/>
      <w:r w:rsidR="00883FB8" w:rsidRPr="00506656">
        <w:rPr>
          <w:i/>
          <w:sz w:val="20"/>
          <w:szCs w:val="20"/>
          <w:lang w:val="en-GB"/>
        </w:rPr>
        <w:t>)</w:t>
      </w:r>
      <w:r w:rsidR="00883FB8">
        <w:rPr>
          <w:sz w:val="20"/>
          <w:szCs w:val="20"/>
          <w:lang w:val="en-GB"/>
        </w:rPr>
        <w:t xml:space="preserve">  is </w:t>
      </w:r>
      <w:r>
        <w:rPr>
          <w:sz w:val="20"/>
          <w:szCs w:val="20"/>
          <w:lang w:val="en-GB"/>
        </w:rPr>
        <w:t>the</w:t>
      </w:r>
      <w:r w:rsidR="00883FB8">
        <w:rPr>
          <w:sz w:val="20"/>
          <w:szCs w:val="20"/>
          <w:lang w:val="en-GB"/>
        </w:rPr>
        <w:t xml:space="preserve"> accumulation of the</w:t>
      </w:r>
      <w:r>
        <w:rPr>
          <w:sz w:val="20"/>
          <w:szCs w:val="20"/>
          <w:lang w:val="en-GB"/>
        </w:rPr>
        <w:t xml:space="preserve"> TPC commands up to the last symbol of the corresponding DCI; for configured UL transmission, </w:t>
      </w:r>
      <w:r w:rsidR="00883FB8" w:rsidRPr="00506656">
        <w:rPr>
          <w:i/>
          <w:sz w:val="20"/>
          <w:szCs w:val="20"/>
          <w:lang w:val="en-GB"/>
        </w:rPr>
        <w:t>f(</w:t>
      </w:r>
      <w:proofErr w:type="spellStart"/>
      <w:r w:rsidR="00883FB8" w:rsidRPr="00506656">
        <w:rPr>
          <w:i/>
          <w:sz w:val="20"/>
          <w:szCs w:val="20"/>
          <w:lang w:val="en-GB"/>
        </w:rPr>
        <w:t>i,l</w:t>
      </w:r>
      <w:proofErr w:type="spellEnd"/>
      <w:r w:rsidR="00883FB8" w:rsidRPr="00506656">
        <w:rPr>
          <w:i/>
          <w:sz w:val="20"/>
          <w:szCs w:val="20"/>
          <w:lang w:val="en-GB"/>
        </w:rPr>
        <w:t>)</w:t>
      </w:r>
      <w:r w:rsidR="00883FB8">
        <w:rPr>
          <w:sz w:val="20"/>
          <w:szCs w:val="20"/>
          <w:lang w:val="en-GB"/>
        </w:rPr>
        <w:t xml:space="preserve"> is the accumulation of </w:t>
      </w:r>
      <w:r>
        <w:rPr>
          <w:sz w:val="20"/>
          <w:szCs w:val="20"/>
          <w:lang w:val="en-GB"/>
        </w:rPr>
        <w:t xml:space="preserve">the TPC commands up to </w:t>
      </w:r>
      <w:r w:rsidR="00C67F67">
        <w:rPr>
          <w:sz w:val="20"/>
          <w:szCs w:val="20"/>
          <w:lang w:val="en-GB"/>
        </w:rPr>
        <w:t xml:space="preserve">min{k2} slots </w:t>
      </w:r>
      <w:r>
        <w:rPr>
          <w:sz w:val="20"/>
          <w:szCs w:val="20"/>
          <w:lang w:val="en-GB"/>
        </w:rPr>
        <w:t>before the transmission</w:t>
      </w:r>
      <w:r w:rsidR="009C610E">
        <w:rPr>
          <w:sz w:val="20"/>
          <w:szCs w:val="20"/>
          <w:lang w:val="en-GB"/>
        </w:rPr>
        <w:t xml:space="preserve"> [2]</w:t>
      </w:r>
      <w:r>
        <w:rPr>
          <w:sz w:val="20"/>
          <w:szCs w:val="20"/>
          <w:lang w:val="en-GB"/>
        </w:rPr>
        <w:t xml:space="preserve">. </w:t>
      </w:r>
      <w:r w:rsidR="00883FB8">
        <w:rPr>
          <w:sz w:val="20"/>
          <w:szCs w:val="20"/>
          <w:lang w:val="en-GB"/>
        </w:rPr>
        <w:t xml:space="preserve"> The difference in the latest time of TPC accumulation </w:t>
      </w:r>
      <w:r>
        <w:rPr>
          <w:sz w:val="20"/>
          <w:szCs w:val="20"/>
          <w:lang w:val="en-GB"/>
        </w:rPr>
        <w:t xml:space="preserve">is </w:t>
      </w:r>
      <w:r w:rsidR="00883FB8">
        <w:rPr>
          <w:sz w:val="20"/>
          <w:szCs w:val="20"/>
          <w:lang w:val="en-GB"/>
        </w:rPr>
        <w:t>depicted in the Figure 1.</w:t>
      </w:r>
    </w:p>
    <w:p w14:paraId="3B89D88F" w14:textId="77777777" w:rsidR="00883FB8" w:rsidRDefault="00883FB8" w:rsidP="00284CD4">
      <w:pPr>
        <w:pStyle w:val="Default"/>
        <w:rPr>
          <w:sz w:val="20"/>
          <w:szCs w:val="20"/>
          <w:lang w:val="en-GB"/>
        </w:rPr>
      </w:pPr>
    </w:p>
    <w:p w14:paraId="2449CEA0" w14:textId="5DCCE661" w:rsidR="00883FB8" w:rsidRDefault="00AB652C" w:rsidP="00883FB8">
      <w:pPr>
        <w:pStyle w:val="Default"/>
        <w:keepNext/>
      </w:pPr>
      <w:r>
        <w:object w:dxaOrig="9225" w:dyaOrig="2108" w14:anchorId="253E30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pt;height:105.6pt" o:ole="">
            <v:imagedata r:id="rId12" o:title=""/>
          </v:shape>
          <o:OLEObject Type="Embed" ProgID="Visio.Drawing.11" ShapeID="_x0000_i1025" DrawAspect="Content" ObjectID="_1618386116" r:id="rId13"/>
        </w:object>
      </w:r>
    </w:p>
    <w:p w14:paraId="384320E9" w14:textId="63B0E732" w:rsidR="00883FB8" w:rsidRDefault="00883FB8" w:rsidP="00883FB8">
      <w:pPr>
        <w:pStyle w:val="Caption"/>
      </w:pPr>
      <w:r>
        <w:t xml:space="preserve">Figure </w:t>
      </w:r>
      <w:r w:rsidR="00A81880">
        <w:rPr>
          <w:noProof/>
        </w:rPr>
        <w:fldChar w:fldCharType="begin"/>
      </w:r>
      <w:r w:rsidR="00A81880">
        <w:rPr>
          <w:noProof/>
        </w:rPr>
        <w:instrText xml:space="preserve"> SEQ Figure \* ARABIC </w:instrText>
      </w:r>
      <w:r w:rsidR="00A81880">
        <w:rPr>
          <w:noProof/>
        </w:rPr>
        <w:fldChar w:fldCharType="separate"/>
      </w:r>
      <w:r w:rsidR="00B4541B">
        <w:rPr>
          <w:noProof/>
        </w:rPr>
        <w:t>1</w:t>
      </w:r>
      <w:r w:rsidR="00A81880">
        <w:rPr>
          <w:noProof/>
        </w:rPr>
        <w:fldChar w:fldCharType="end"/>
      </w:r>
      <w:r>
        <w:t>. Latest time for TPC accumulation in UL power control: a). DCI schedule UL transmission, b) Configured UL transmission.</w:t>
      </w:r>
    </w:p>
    <w:p w14:paraId="49A77EF2" w14:textId="39BDDC09" w:rsidR="000429E5" w:rsidRDefault="000429E5" w:rsidP="00883FB8"/>
    <w:p w14:paraId="43AF221B" w14:textId="6A4F7B2E" w:rsidR="000429E5" w:rsidRDefault="000429E5" w:rsidP="00883FB8">
      <w:r>
        <w:t xml:space="preserve">The PH value of a configured UL transmission can only be calculated within </w:t>
      </w:r>
      <w:proofErr w:type="gramStart"/>
      <w:r w:rsidR="00C67F67">
        <w:t>min{</w:t>
      </w:r>
      <w:r>
        <w:t xml:space="preserve"> k</w:t>
      </w:r>
      <w:proofErr w:type="gramEnd"/>
      <w:r>
        <w:t>2</w:t>
      </w:r>
      <w:r w:rsidR="00C67F67">
        <w:t>}</w:t>
      </w:r>
      <w:r>
        <w:t xml:space="preserve"> slots prior to the transmission</w:t>
      </w:r>
      <w:r w:rsidR="00C67F67">
        <w:t xml:space="preserve">, where k2 are configured in </w:t>
      </w:r>
      <w:r w:rsidR="00C67F67">
        <w:rPr>
          <w:i/>
          <w:iCs/>
        </w:rPr>
        <w:t>PUSCH-</w:t>
      </w:r>
      <w:proofErr w:type="spellStart"/>
      <w:r w:rsidR="00C67F67">
        <w:rPr>
          <w:i/>
          <w:iCs/>
        </w:rPr>
        <w:t>ConfigCommon</w:t>
      </w:r>
      <w:proofErr w:type="spellEnd"/>
      <w:r w:rsidR="00C67F67">
        <w:rPr>
          <w:i/>
          <w:iCs/>
        </w:rPr>
        <w:t xml:space="preserve">. </w:t>
      </w:r>
      <w:r>
        <w:t xml:space="preserve"> Since </w:t>
      </w:r>
      <w:r w:rsidR="00C67F67">
        <w:t>min{</w:t>
      </w:r>
      <w:r>
        <w:t>k2</w:t>
      </w:r>
      <w:r w:rsidR="00C67F67">
        <w:t>}</w:t>
      </w:r>
      <w:r>
        <w:t xml:space="preserve"> slots duration can be much smaller than 4 </w:t>
      </w:r>
      <w:proofErr w:type="spellStart"/>
      <w:r>
        <w:t>ms</w:t>
      </w:r>
      <w:proofErr w:type="spellEnd"/>
      <w:r>
        <w:t>,</w:t>
      </w:r>
      <w:r w:rsidR="00E52EF9">
        <w:t xml:space="preserve"> it is impossible to carry such a PH in an LTE UL transmission without mandating much faster LTE processing time line.</w:t>
      </w:r>
    </w:p>
    <w:p w14:paraId="2C7EBBB6" w14:textId="6D8A236D" w:rsidR="000429E5" w:rsidRPr="0003063A" w:rsidRDefault="000429E5" w:rsidP="00883FB8">
      <w:pPr>
        <w:rPr>
          <w:b/>
          <w:i/>
        </w:rPr>
      </w:pPr>
      <w:r w:rsidRPr="0003063A">
        <w:rPr>
          <w:b/>
          <w:i/>
        </w:rPr>
        <w:t xml:space="preserve">Observation 1: </w:t>
      </w:r>
      <w:r w:rsidR="0003063A" w:rsidRPr="0003063A">
        <w:rPr>
          <w:b/>
          <w:i/>
        </w:rPr>
        <w:t xml:space="preserve">There </w:t>
      </w:r>
      <w:r w:rsidR="0003063A">
        <w:rPr>
          <w:b/>
          <w:i/>
        </w:rPr>
        <w:t>is often</w:t>
      </w:r>
      <w:r w:rsidR="0003063A" w:rsidRPr="0003063A">
        <w:rPr>
          <w:b/>
          <w:i/>
        </w:rPr>
        <w:t xml:space="preserve"> not enough processing time for an LTE UL transmission to carry </w:t>
      </w:r>
      <w:r w:rsidR="00E52EF9" w:rsidRPr="0003063A">
        <w:rPr>
          <w:b/>
          <w:i/>
        </w:rPr>
        <w:t xml:space="preserve">the PHR of </w:t>
      </w:r>
      <w:r w:rsidRPr="0003063A">
        <w:rPr>
          <w:b/>
          <w:i/>
        </w:rPr>
        <w:t xml:space="preserve">a configured </w:t>
      </w:r>
      <w:r w:rsidR="00E52EF9" w:rsidRPr="0003063A">
        <w:rPr>
          <w:b/>
          <w:i/>
        </w:rPr>
        <w:t xml:space="preserve">NR </w:t>
      </w:r>
      <w:r w:rsidRPr="0003063A">
        <w:rPr>
          <w:b/>
          <w:i/>
        </w:rPr>
        <w:t xml:space="preserve">UL </w:t>
      </w:r>
      <w:r w:rsidR="0003063A">
        <w:rPr>
          <w:b/>
          <w:i/>
        </w:rPr>
        <w:t xml:space="preserve">transmission </w:t>
      </w:r>
      <w:r w:rsidR="0003063A" w:rsidRPr="0003063A">
        <w:rPr>
          <w:b/>
          <w:i/>
        </w:rPr>
        <w:t>that overlaps with the LTE transmission, regardless when the NR transmission is configured.</w:t>
      </w:r>
    </w:p>
    <w:p w14:paraId="47741EA5" w14:textId="77777777" w:rsidR="004544E5" w:rsidRDefault="004544E5" w:rsidP="00883FB8"/>
    <w:p w14:paraId="55F27411" w14:textId="77CD9F43" w:rsidR="003E7374" w:rsidRDefault="004544E5" w:rsidP="003E7374">
      <w:pPr>
        <w:widowControl w:val="0"/>
        <w:jc w:val="both"/>
      </w:pPr>
      <w:r>
        <w:t xml:space="preserve">To resolve the above problem, </w:t>
      </w:r>
      <w:r w:rsidR="003E7374">
        <w:t xml:space="preserve">new TPC accumulation </w:t>
      </w:r>
      <w:r w:rsidR="00360FC6">
        <w:t>timeline</w:t>
      </w:r>
      <w:r w:rsidR="003E7374">
        <w:t xml:space="preserve"> needs to be defined for the purpose of reporting NR PH on LTE. In RAN1 96bis, the following recommendation was made to facilitate further discussions [2]. </w:t>
      </w:r>
    </w:p>
    <w:p w14:paraId="515B8704" w14:textId="77777777" w:rsidR="003E7374" w:rsidRPr="00F17A9F" w:rsidRDefault="003E7374" w:rsidP="003E7374">
      <w:pPr>
        <w:pStyle w:val="maintext"/>
        <w:snapToGrid w:val="0"/>
        <w:spacing w:before="0" w:after="0" w:line="240" w:lineRule="auto"/>
        <w:ind w:left="288" w:firstLineChars="0" w:firstLine="0"/>
        <w:rPr>
          <w:rFonts w:eastAsia="SimSun"/>
          <w:b/>
          <w:i/>
          <w:szCs w:val="24"/>
          <w:u w:val="single"/>
          <w:lang w:eastAsia="zh-CN"/>
        </w:rPr>
      </w:pPr>
      <w:r w:rsidRPr="00F17A9F">
        <w:rPr>
          <w:rFonts w:eastAsia="SimSun"/>
          <w:b/>
          <w:i/>
          <w:szCs w:val="24"/>
          <w:lang w:eastAsia="zh-CN"/>
        </w:rPr>
        <w:t xml:space="preserve">Further discuss until RAN1#97 for NR PHR on LTE, considering the alternatives below and possible updates: </w:t>
      </w:r>
    </w:p>
    <w:p w14:paraId="3F57924C" w14:textId="77777777" w:rsidR="003E7374" w:rsidRPr="00F17A9F" w:rsidRDefault="003E7374" w:rsidP="003E7374">
      <w:pPr>
        <w:pStyle w:val="maintext"/>
        <w:numPr>
          <w:ilvl w:val="0"/>
          <w:numId w:val="42"/>
        </w:numPr>
        <w:snapToGrid w:val="0"/>
        <w:spacing w:before="0" w:after="0" w:line="240" w:lineRule="auto"/>
        <w:ind w:left="1008" w:firstLineChars="0"/>
        <w:rPr>
          <w:rFonts w:eastAsia="SimSun"/>
          <w:i/>
          <w:szCs w:val="24"/>
          <w:lang w:eastAsia="zh-CN"/>
        </w:rPr>
      </w:pPr>
      <w:r w:rsidRPr="00F17A9F">
        <w:rPr>
          <w:rFonts w:eastAsia="SimSun"/>
          <w:i/>
          <w:szCs w:val="24"/>
          <w:lang w:eastAsia="zh-CN"/>
        </w:rPr>
        <w:t xml:space="preserve">Alt-1: </w:t>
      </w:r>
      <w:r w:rsidRPr="00F17A9F">
        <w:rPr>
          <w:i/>
          <w:szCs w:val="24"/>
          <w:lang w:eastAsia="zh-CN"/>
        </w:rPr>
        <w:t xml:space="preserve">If the UE indicates a capability for dynamic power sharing between E-UTRA and NR for EN-DC, accumulation of the TPC commands for NR PHR is received up to 4 </w:t>
      </w:r>
      <w:proofErr w:type="spellStart"/>
      <w:r w:rsidRPr="00F17A9F">
        <w:rPr>
          <w:i/>
          <w:szCs w:val="24"/>
          <w:lang w:eastAsia="zh-CN"/>
        </w:rPr>
        <w:t>ms</w:t>
      </w:r>
      <w:proofErr w:type="spellEnd"/>
      <w:r w:rsidRPr="00F17A9F">
        <w:rPr>
          <w:i/>
          <w:szCs w:val="24"/>
          <w:lang w:eastAsia="zh-CN"/>
        </w:rPr>
        <w:t xml:space="preserve"> prior to the subframe in which the LTE power headroom report is transmitted for the following cases</w:t>
      </w:r>
    </w:p>
    <w:p w14:paraId="1D945264" w14:textId="77777777" w:rsidR="003E7374" w:rsidRPr="00F17A9F" w:rsidRDefault="003E7374" w:rsidP="003E7374">
      <w:pPr>
        <w:pStyle w:val="maintext"/>
        <w:numPr>
          <w:ilvl w:val="1"/>
          <w:numId w:val="41"/>
        </w:numPr>
        <w:snapToGrid w:val="0"/>
        <w:spacing w:before="0" w:after="0" w:line="240" w:lineRule="auto"/>
        <w:ind w:left="1728" w:firstLineChars="0"/>
        <w:rPr>
          <w:rFonts w:eastAsia="SimSun"/>
          <w:i/>
          <w:szCs w:val="24"/>
          <w:lang w:eastAsia="zh-CN"/>
        </w:rPr>
      </w:pPr>
      <w:r w:rsidRPr="00F17A9F">
        <w:rPr>
          <w:rFonts w:eastAsia="SimSun"/>
          <w:i/>
          <w:szCs w:val="24"/>
          <w:lang w:eastAsia="zh-CN"/>
        </w:rPr>
        <w:t>Configured PUSCH transmission in type 1 PHR.</w:t>
      </w:r>
    </w:p>
    <w:p w14:paraId="5E298591" w14:textId="77777777" w:rsidR="003E7374" w:rsidRPr="00F17A9F" w:rsidRDefault="003E7374" w:rsidP="003E7374">
      <w:pPr>
        <w:pStyle w:val="maintext"/>
        <w:numPr>
          <w:ilvl w:val="1"/>
          <w:numId w:val="41"/>
        </w:numPr>
        <w:snapToGrid w:val="0"/>
        <w:spacing w:before="0" w:after="0" w:line="240" w:lineRule="auto"/>
        <w:ind w:left="1728" w:firstLineChars="0"/>
        <w:rPr>
          <w:rFonts w:eastAsia="SimSun"/>
          <w:i/>
          <w:szCs w:val="24"/>
          <w:lang w:eastAsia="zh-CN"/>
        </w:rPr>
      </w:pPr>
      <w:r w:rsidRPr="00F17A9F">
        <w:rPr>
          <w:rFonts w:eastAsia="SimSun"/>
          <w:i/>
          <w:szCs w:val="24"/>
          <w:lang w:eastAsia="zh-CN"/>
        </w:rPr>
        <w:t>Semi-persistent or periodic SRS transmission in type 3 PHR.</w:t>
      </w:r>
    </w:p>
    <w:p w14:paraId="79F5F133" w14:textId="77777777" w:rsidR="003E7374" w:rsidRPr="00F17A9F" w:rsidRDefault="003E7374" w:rsidP="003E7374">
      <w:pPr>
        <w:numPr>
          <w:ilvl w:val="0"/>
          <w:numId w:val="41"/>
        </w:numPr>
        <w:overflowPunct/>
        <w:autoSpaceDE/>
        <w:autoSpaceDN/>
        <w:adjustRightInd/>
        <w:spacing w:after="0"/>
        <w:ind w:left="1008"/>
        <w:textAlignment w:val="auto"/>
        <w:rPr>
          <w:bCs/>
          <w:i/>
          <w:iCs/>
        </w:rPr>
      </w:pPr>
      <w:r w:rsidRPr="00F17A9F">
        <w:rPr>
          <w:rFonts w:hint="eastAsia"/>
          <w:i/>
        </w:rPr>
        <w:t>A</w:t>
      </w:r>
      <w:r w:rsidRPr="00F17A9F">
        <w:rPr>
          <w:i/>
        </w:rPr>
        <w:t xml:space="preserve">lt-2: </w:t>
      </w:r>
    </w:p>
    <w:p w14:paraId="6B333673" w14:textId="77777777" w:rsidR="003E7374" w:rsidRPr="00F17A9F" w:rsidRDefault="003E7374" w:rsidP="003E7374">
      <w:pPr>
        <w:pStyle w:val="maintext"/>
        <w:numPr>
          <w:ilvl w:val="1"/>
          <w:numId w:val="41"/>
        </w:numPr>
        <w:snapToGrid w:val="0"/>
        <w:spacing w:before="0" w:after="0" w:line="240" w:lineRule="auto"/>
        <w:ind w:left="1728" w:firstLineChars="0"/>
        <w:rPr>
          <w:rFonts w:eastAsia="SimSun"/>
          <w:i/>
          <w:szCs w:val="24"/>
          <w:lang w:val="en-US" w:eastAsia="zh-CN"/>
        </w:rPr>
      </w:pPr>
      <w:r w:rsidRPr="00F17A9F">
        <w:rPr>
          <w:rFonts w:eastAsia="SimSun"/>
          <w:i/>
          <w:szCs w:val="24"/>
          <w:lang w:val="en-US" w:eastAsia="zh-CN"/>
        </w:rPr>
        <w:t>The TPC accumulation, f(</w:t>
      </w:r>
      <w:proofErr w:type="spellStart"/>
      <w:proofErr w:type="gramStart"/>
      <w:r w:rsidRPr="00F17A9F">
        <w:rPr>
          <w:rFonts w:eastAsia="SimSun"/>
          <w:i/>
          <w:szCs w:val="24"/>
          <w:lang w:val="en-US" w:eastAsia="zh-CN"/>
        </w:rPr>
        <w:t>i,l</w:t>
      </w:r>
      <w:proofErr w:type="spellEnd"/>
      <w:proofErr w:type="gramEnd"/>
      <w:r w:rsidRPr="00F17A9F">
        <w:rPr>
          <w:rFonts w:eastAsia="SimSun"/>
          <w:i/>
          <w:szCs w:val="24"/>
          <w:lang w:val="en-US" w:eastAsia="zh-CN"/>
        </w:rPr>
        <w:t>), is allowed to include TPC commands up to any time in between the PHR trigger and min{k2} slots prior to the reference slot.</w:t>
      </w:r>
    </w:p>
    <w:p w14:paraId="26BCBC9C" w14:textId="77777777" w:rsidR="003E7374" w:rsidRPr="004544E5" w:rsidRDefault="003E7374" w:rsidP="003E7374">
      <w:pPr>
        <w:numPr>
          <w:ilvl w:val="1"/>
          <w:numId w:val="41"/>
        </w:numPr>
        <w:overflowPunct/>
        <w:autoSpaceDE/>
        <w:autoSpaceDN/>
        <w:adjustRightInd/>
        <w:spacing w:after="0"/>
        <w:ind w:left="1728"/>
        <w:textAlignment w:val="auto"/>
        <w:rPr>
          <w:i/>
          <w:lang w:eastAsia="zh-CN"/>
        </w:rPr>
      </w:pPr>
      <w:r w:rsidRPr="00F17A9F">
        <w:rPr>
          <w:i/>
          <w:lang w:eastAsia="zh-CN"/>
        </w:rPr>
        <w:t>When NR PH is provided by LTE, it is up to the UE to decide the PHR is based on a reference transmission or real transmission.</w:t>
      </w:r>
    </w:p>
    <w:p w14:paraId="5A0A8D44" w14:textId="25DC9775" w:rsidR="004544E5" w:rsidRDefault="004544E5" w:rsidP="00883FB8"/>
    <w:p w14:paraId="031C912A" w14:textId="12406B34" w:rsidR="002E4E7B" w:rsidRDefault="00DC0D8D" w:rsidP="00883FB8">
      <w:r>
        <w:t xml:space="preserve">Both of the above two alternatives </w:t>
      </w:r>
      <w:r w:rsidR="002E4E7B">
        <w:t>don’t change PHRs based on a</w:t>
      </w:r>
      <w:r w:rsidR="006D1BC9">
        <w:t>n actual</w:t>
      </w:r>
      <w:r w:rsidR="002E4E7B">
        <w:t xml:space="preserve"> scheduled grant</w:t>
      </w:r>
      <w:r w:rsidR="006D1BC9">
        <w:t xml:space="preserve">. This is because </w:t>
      </w:r>
      <w:r w:rsidR="002E4E7B">
        <w:t>for scheduled grants the last TPC commands that affect the transmission power is the one included in the scheduling DCI that must arrive 4</w:t>
      </w:r>
      <w:r w:rsidR="003E7374">
        <w:t xml:space="preserve"> </w:t>
      </w:r>
      <w:proofErr w:type="spellStart"/>
      <w:r w:rsidR="002E4E7B">
        <w:t>ms</w:t>
      </w:r>
      <w:proofErr w:type="spellEnd"/>
      <w:r w:rsidR="002E4E7B">
        <w:t xml:space="preserve"> before the PHR transmission for real PHR as shown in the figure below.</w:t>
      </w:r>
    </w:p>
    <w:p w14:paraId="317A2211" w14:textId="77777777" w:rsidR="00221CE8" w:rsidRDefault="00943690" w:rsidP="00221CE8">
      <w:pPr>
        <w:keepNext/>
        <w:jc w:val="center"/>
      </w:pPr>
      <w:r>
        <w:object w:dxaOrig="7024" w:dyaOrig="2403" w14:anchorId="3B3B20AB">
          <v:shape id="_x0000_i1026" type="#_x0000_t75" style="width:351pt;height:120pt" o:ole="">
            <v:imagedata r:id="rId14" o:title=""/>
          </v:shape>
          <o:OLEObject Type="Embed" ProgID="Visio.Drawing.11" ShapeID="_x0000_i1026" DrawAspect="Content" ObjectID="_1618386117" r:id="rId15"/>
        </w:object>
      </w:r>
    </w:p>
    <w:p w14:paraId="22458957" w14:textId="27C9A069" w:rsidR="00943690" w:rsidRDefault="00221CE8" w:rsidP="00221CE8">
      <w:pPr>
        <w:pStyle w:val="Caption"/>
        <w:jc w:val="center"/>
      </w:pPr>
      <w:r>
        <w:t xml:space="preserve">Figure </w:t>
      </w:r>
      <w:r w:rsidR="006D752E">
        <w:rPr>
          <w:noProof/>
        </w:rPr>
        <w:fldChar w:fldCharType="begin"/>
      </w:r>
      <w:r w:rsidR="006D752E">
        <w:rPr>
          <w:noProof/>
        </w:rPr>
        <w:instrText xml:space="preserve"> SEQ Figure \* ARABIC </w:instrText>
      </w:r>
      <w:r w:rsidR="006D752E">
        <w:rPr>
          <w:noProof/>
        </w:rPr>
        <w:fldChar w:fldCharType="separate"/>
      </w:r>
      <w:r w:rsidR="00B4541B">
        <w:rPr>
          <w:noProof/>
        </w:rPr>
        <w:t>2</w:t>
      </w:r>
      <w:r w:rsidR="006D752E">
        <w:rPr>
          <w:noProof/>
        </w:rPr>
        <w:fldChar w:fldCharType="end"/>
      </w:r>
      <w:r>
        <w:t>. TPC accumulation timeline for scheduled grants.</w:t>
      </w:r>
    </w:p>
    <w:p w14:paraId="785B32B2" w14:textId="77777777" w:rsidR="002E4E7B" w:rsidRDefault="002E4E7B" w:rsidP="00883FB8"/>
    <w:p w14:paraId="1A257C47" w14:textId="03E3DF2E" w:rsidR="00DC2B97" w:rsidRDefault="00DC2B97" w:rsidP="00883FB8">
      <w:r>
        <w:t>In the sequel, unless specifically mentioned otherwise we focus on the PHRs for configured grants including semi-persistent and periodic SRS as well as PHRs based on reference transmissions. For these cases, PHR processing timeline for asynchronous EN-DC is depicted in the figure below.</w:t>
      </w:r>
    </w:p>
    <w:p w14:paraId="493A0512" w14:textId="77777777" w:rsidR="00B4541B" w:rsidRDefault="009C3D34" w:rsidP="00B4541B">
      <w:pPr>
        <w:keepNext/>
        <w:jc w:val="center"/>
      </w:pPr>
      <w:r>
        <w:object w:dxaOrig="6144" w:dyaOrig="2924" w14:anchorId="2AA818F4">
          <v:shape id="_x0000_i1027" type="#_x0000_t75" style="width:307.2pt;height:146.4pt" o:ole="">
            <v:imagedata r:id="rId16" o:title=""/>
          </v:shape>
          <o:OLEObject Type="Embed" ProgID="Visio.Drawing.11" ShapeID="_x0000_i1027" DrawAspect="Content" ObjectID="_1618386118" r:id="rId17"/>
        </w:object>
      </w:r>
    </w:p>
    <w:p w14:paraId="52913B65" w14:textId="7ABF751D" w:rsidR="00DC2B97" w:rsidRDefault="00B4541B" w:rsidP="00B4541B">
      <w:pPr>
        <w:pStyle w:val="Caption"/>
        <w:jc w:val="center"/>
      </w:pPr>
      <w:r>
        <w:t xml:space="preserve">Figure </w:t>
      </w:r>
      <w:r w:rsidR="002F32CC">
        <w:rPr>
          <w:noProof/>
        </w:rPr>
        <w:fldChar w:fldCharType="begin"/>
      </w:r>
      <w:r w:rsidR="002F32CC">
        <w:rPr>
          <w:noProof/>
        </w:rPr>
        <w:instrText xml:space="preserve"> SEQ Figure \* ARABIC </w:instrText>
      </w:r>
      <w:r w:rsidR="002F32CC">
        <w:rPr>
          <w:noProof/>
        </w:rPr>
        <w:fldChar w:fldCharType="separate"/>
      </w:r>
      <w:r>
        <w:rPr>
          <w:noProof/>
        </w:rPr>
        <w:t>3</w:t>
      </w:r>
      <w:r w:rsidR="002F32CC">
        <w:rPr>
          <w:noProof/>
        </w:rPr>
        <w:fldChar w:fldCharType="end"/>
      </w:r>
      <w:r>
        <w:t>. NR PHR processing in EN-DC.</w:t>
      </w:r>
    </w:p>
    <w:p w14:paraId="2EFEFE6C" w14:textId="77777777" w:rsidR="00DC2B97" w:rsidRDefault="00DC2B97" w:rsidP="00883FB8"/>
    <w:p w14:paraId="78575D8B" w14:textId="7AAD29F1" w:rsidR="00B4541B" w:rsidRDefault="00B4541B" w:rsidP="00883FB8">
      <w:r>
        <w:t xml:space="preserve">From Fig. 3, we have the following </w:t>
      </w:r>
      <w:r w:rsidR="00324B15">
        <w:t>remarks</w:t>
      </w:r>
      <w:r>
        <w:t>.</w:t>
      </w:r>
    </w:p>
    <w:p w14:paraId="5C0D2184" w14:textId="3B7DA841" w:rsidR="009E1E4D" w:rsidRDefault="006A50D6" w:rsidP="00324B15">
      <w:pPr>
        <w:pStyle w:val="ListParagraph"/>
        <w:numPr>
          <w:ilvl w:val="0"/>
          <w:numId w:val="44"/>
        </w:numPr>
      </w:pPr>
      <w:r>
        <w:t>There</w:t>
      </w:r>
      <w:r w:rsidR="009E1E4D">
        <w:t xml:space="preserve"> could be one or multiple group power control commands received between 4ms prior to the LTE subframe that carries PHR and the time when NR starts </w:t>
      </w:r>
      <w:r>
        <w:t xml:space="preserve">PHR </w:t>
      </w:r>
      <w:r w:rsidR="009E1E4D">
        <w:t xml:space="preserve">calculation upon </w:t>
      </w:r>
      <w:r>
        <w:t xml:space="preserve">the </w:t>
      </w:r>
      <w:r w:rsidR="009E1E4D">
        <w:t xml:space="preserve">request from LTE. </w:t>
      </w:r>
    </w:p>
    <w:p w14:paraId="37721BC2" w14:textId="43785C09" w:rsidR="00595032" w:rsidRDefault="00B31907" w:rsidP="00324B15">
      <w:pPr>
        <w:pStyle w:val="ListParagraph"/>
        <w:numPr>
          <w:ilvl w:val="0"/>
          <w:numId w:val="44"/>
        </w:numPr>
      </w:pPr>
      <w:r>
        <w:t xml:space="preserve">Unless </w:t>
      </w:r>
      <w:proofErr w:type="spellStart"/>
      <w:r>
        <w:t>eNB</w:t>
      </w:r>
      <w:proofErr w:type="spellEnd"/>
      <w:r>
        <w:t xml:space="preserve"> knows all the </w:t>
      </w:r>
      <w:proofErr w:type="spellStart"/>
      <w:r>
        <w:t>gNB</w:t>
      </w:r>
      <w:proofErr w:type="spellEnd"/>
      <w:r>
        <w:t xml:space="preserve"> scheduling information including group power control DCIs in real time, e.g., </w:t>
      </w:r>
      <w:proofErr w:type="spellStart"/>
      <w:r>
        <w:t>eNB</w:t>
      </w:r>
      <w:proofErr w:type="spellEnd"/>
      <w:r>
        <w:t xml:space="preserve"> and </w:t>
      </w:r>
      <w:proofErr w:type="spellStart"/>
      <w:r>
        <w:t>gNB</w:t>
      </w:r>
      <w:proofErr w:type="spellEnd"/>
      <w:r>
        <w:t xml:space="preserve"> share a scheduler, it is preferred from Network scheduling point of view to include relevant TPC commands as much as possible in the PHR. That is, from Network point of view, Alt 2 TPC accumulation timeline is prefe</w:t>
      </w:r>
      <w:r w:rsidR="006A50D6">
        <w:t>r</w:t>
      </w:r>
      <w:r>
        <w:t>red.</w:t>
      </w:r>
    </w:p>
    <w:p w14:paraId="59FA8F12" w14:textId="115B5FBF" w:rsidR="00035B9C" w:rsidRDefault="009E1E4D" w:rsidP="00324B15">
      <w:pPr>
        <w:pStyle w:val="ListParagraph"/>
        <w:numPr>
          <w:ilvl w:val="0"/>
          <w:numId w:val="44"/>
        </w:numPr>
      </w:pPr>
      <w:r>
        <w:t xml:space="preserve">For asynchronous EN-DC, if an exact deadline for TPC accumulation were required, e.g., 4ms prior to the LTE subframe carrying the PHR, </w:t>
      </w:r>
      <w:r w:rsidR="00035B9C">
        <w:t>the NR symbol number and slot count corresponding to the time instance that is</w:t>
      </w:r>
      <w:r>
        <w:t xml:space="preserve"> 4 </w:t>
      </w:r>
      <w:proofErr w:type="spellStart"/>
      <w:r>
        <w:t>ms</w:t>
      </w:r>
      <w:proofErr w:type="spellEnd"/>
      <w:r>
        <w:t xml:space="preserve"> prior to the LTE subframe </w:t>
      </w:r>
      <w:r w:rsidR="00035B9C">
        <w:t>would have to be available to NR in order to exclude any potential TPC commands that arrives later. This would preclude a typical implementation in which group TPC commands will be added to the TPC accumulation</w:t>
      </w:r>
      <w:r w:rsidR="006A50D6">
        <w:t xml:space="preserve"> once it is received</w:t>
      </w:r>
      <w:r w:rsidR="00035B9C">
        <w:t>.</w:t>
      </w:r>
    </w:p>
    <w:p w14:paraId="6A533BF7" w14:textId="690255E1" w:rsidR="00324B15" w:rsidRDefault="003673AE" w:rsidP="00324B15">
      <w:pPr>
        <w:pStyle w:val="ListParagraph"/>
        <w:numPr>
          <w:ilvl w:val="0"/>
          <w:numId w:val="44"/>
        </w:numPr>
      </w:pPr>
      <w:r>
        <w:t xml:space="preserve">In NR, power control is required to be performed after </w:t>
      </w:r>
      <w:r w:rsidR="006A50D6">
        <w:t>min{</w:t>
      </w:r>
      <w:r>
        <w:t>k2</w:t>
      </w:r>
      <w:r w:rsidR="006A50D6">
        <w:t>}</w:t>
      </w:r>
      <w:r>
        <w:t xml:space="preserve"> symbols prior to a transmission as it is the latest time a scheduling DCI can arrive. This means that NR PHR on LTE is a</w:t>
      </w:r>
      <w:r w:rsidR="00324B15">
        <w:t xml:space="preserve"> process in addition to NR power control process and results of the former cannot be used for the latter.</w:t>
      </w:r>
    </w:p>
    <w:p w14:paraId="58759624" w14:textId="77777777" w:rsidR="00324B15" w:rsidRDefault="003673AE" w:rsidP="00883FB8">
      <w:r>
        <w:t xml:space="preserve"> </w:t>
      </w:r>
    </w:p>
    <w:p w14:paraId="6ABEFB53" w14:textId="77777777" w:rsidR="00B31907" w:rsidRDefault="00B31907" w:rsidP="00883FB8">
      <w:r>
        <w:t>We conclude the above in the following observation:</w:t>
      </w:r>
    </w:p>
    <w:p w14:paraId="10F2C00A" w14:textId="77777777" w:rsidR="00B31907" w:rsidRPr="00B31907" w:rsidRDefault="00B31907" w:rsidP="00883FB8">
      <w:pPr>
        <w:rPr>
          <w:b/>
          <w:i/>
        </w:rPr>
      </w:pPr>
      <w:r w:rsidRPr="00B31907">
        <w:rPr>
          <w:b/>
          <w:i/>
        </w:rPr>
        <w:t xml:space="preserve">Observation 2: </w:t>
      </w:r>
    </w:p>
    <w:p w14:paraId="6731C3E1" w14:textId="2A8ECF16" w:rsidR="00B31907" w:rsidRPr="006C389D" w:rsidRDefault="00B31907" w:rsidP="00B31907">
      <w:pPr>
        <w:pStyle w:val="ListParagraph"/>
        <w:numPr>
          <w:ilvl w:val="0"/>
          <w:numId w:val="45"/>
        </w:numPr>
        <w:rPr>
          <w:rFonts w:ascii="Times New Roman" w:hAnsi="Times New Roman"/>
          <w:b/>
          <w:i/>
          <w:sz w:val="20"/>
          <w:szCs w:val="20"/>
        </w:rPr>
      </w:pPr>
      <w:r w:rsidRPr="006C389D">
        <w:rPr>
          <w:rFonts w:ascii="Times New Roman" w:hAnsi="Times New Roman"/>
          <w:b/>
          <w:i/>
          <w:sz w:val="20"/>
          <w:szCs w:val="20"/>
        </w:rPr>
        <w:t xml:space="preserve">The TPC accumulation timeline in Alt 2 </w:t>
      </w:r>
      <w:r w:rsidR="00CF7F9F" w:rsidRPr="006C389D">
        <w:rPr>
          <w:rFonts w:ascii="Times New Roman" w:hAnsi="Times New Roman"/>
          <w:b/>
          <w:i/>
          <w:sz w:val="20"/>
          <w:szCs w:val="20"/>
        </w:rPr>
        <w:t>can provide more up-to-date</w:t>
      </w:r>
      <w:r w:rsidRPr="006C389D">
        <w:rPr>
          <w:rFonts w:ascii="Times New Roman" w:hAnsi="Times New Roman"/>
          <w:b/>
          <w:i/>
          <w:sz w:val="20"/>
          <w:szCs w:val="20"/>
        </w:rPr>
        <w:t xml:space="preserve"> </w:t>
      </w:r>
      <w:r w:rsidR="00CF7F9F" w:rsidRPr="006C389D">
        <w:rPr>
          <w:rFonts w:ascii="Times New Roman" w:hAnsi="Times New Roman"/>
          <w:b/>
          <w:i/>
          <w:sz w:val="20"/>
          <w:szCs w:val="20"/>
        </w:rPr>
        <w:t xml:space="preserve">information on power control </w:t>
      </w:r>
      <w:r w:rsidRPr="006C389D">
        <w:rPr>
          <w:rFonts w:ascii="Times New Roman" w:hAnsi="Times New Roman"/>
          <w:b/>
          <w:i/>
          <w:sz w:val="20"/>
          <w:szCs w:val="20"/>
        </w:rPr>
        <w:t xml:space="preserve">than that in Alt 1 from Network scheduling point of view. </w:t>
      </w:r>
    </w:p>
    <w:p w14:paraId="17E8E393" w14:textId="2F9A78F2" w:rsidR="00B31907" w:rsidRPr="006C389D" w:rsidRDefault="00B31907" w:rsidP="00B31907">
      <w:pPr>
        <w:pStyle w:val="ListParagraph"/>
        <w:numPr>
          <w:ilvl w:val="0"/>
          <w:numId w:val="45"/>
        </w:numPr>
        <w:rPr>
          <w:rFonts w:ascii="Times New Roman" w:hAnsi="Times New Roman"/>
          <w:b/>
          <w:i/>
          <w:sz w:val="20"/>
          <w:szCs w:val="20"/>
        </w:rPr>
      </w:pPr>
      <w:r w:rsidRPr="006C389D">
        <w:rPr>
          <w:rFonts w:ascii="Times New Roman" w:hAnsi="Times New Roman"/>
          <w:b/>
          <w:i/>
          <w:sz w:val="20"/>
          <w:szCs w:val="20"/>
        </w:rPr>
        <w:t>Alt. 1 can impose significant implementation complexity while Alt.2 does not.</w:t>
      </w:r>
    </w:p>
    <w:p w14:paraId="30329DEA" w14:textId="77777777" w:rsidR="00B31907" w:rsidRDefault="00B31907" w:rsidP="00883FB8"/>
    <w:p w14:paraId="17FEFA2E" w14:textId="4C2C30E9" w:rsidR="00BE29E4" w:rsidRDefault="00BE29E4" w:rsidP="00BE29E4">
      <w:pPr>
        <w:pStyle w:val="Heading2"/>
      </w:pPr>
      <w:r>
        <w:t>Real vs Reference PHR</w:t>
      </w:r>
    </w:p>
    <w:p w14:paraId="3A2514FA" w14:textId="3F30DD78" w:rsidR="008913EA" w:rsidRDefault="008913EA" w:rsidP="00883FB8">
      <w:r>
        <w:t xml:space="preserve">In this section, we compare PHR based on </w:t>
      </w:r>
      <w:r w:rsidR="00360FC6">
        <w:t>an actual</w:t>
      </w:r>
      <w:r>
        <w:t xml:space="preserve"> transmission</w:t>
      </w:r>
      <w:r w:rsidR="00360FC6">
        <w:t xml:space="preserve"> and PHR </w:t>
      </w:r>
      <w:r>
        <w:t xml:space="preserve">on </w:t>
      </w:r>
      <w:r w:rsidR="00360FC6">
        <w:t xml:space="preserve">a </w:t>
      </w:r>
      <w:r>
        <w:t xml:space="preserve">reference transmission. </w:t>
      </w:r>
    </w:p>
    <w:p w14:paraId="3183192F" w14:textId="093AB485" w:rsidR="00873E5A" w:rsidRDefault="008913EA" w:rsidP="00883FB8">
      <w:r>
        <w:t>Unless scheduling delay of NR is significantly increase</w:t>
      </w:r>
      <w:r w:rsidR="00873E5A">
        <w:t>d in EN-DC, according to RAN2’s decision one can expect that the probability of an NR PHR based on real transmission is small for scheduled grants.</w:t>
      </w:r>
    </w:p>
    <w:p w14:paraId="3BEEBEB6" w14:textId="611546F6" w:rsidR="00600861" w:rsidRDefault="00873E5A" w:rsidP="00883FB8">
      <w:r>
        <w:t xml:space="preserve">From Network scheduling point of view, </w:t>
      </w:r>
      <w:r w:rsidR="00600861">
        <w:t>t</w:t>
      </w:r>
      <w:r w:rsidR="00600861" w:rsidRPr="00600861">
        <w:t xml:space="preserve">he </w:t>
      </w:r>
      <w:r w:rsidR="00600861">
        <w:t xml:space="preserve">primary </w:t>
      </w:r>
      <w:r w:rsidR="00600861" w:rsidRPr="00600861">
        <w:t xml:space="preserve">purpose of cross-RAT PHR is to inform the other RAT the PL and TPC accumulation. If the two RATs are closely coordinated, the receiving RAT at the network side can always have all the information it needed regardless if reference or real PHR is reported. If the two are less coordinated, </w:t>
      </w:r>
      <w:r w:rsidR="00600861">
        <w:t xml:space="preserve">e.g., </w:t>
      </w:r>
      <w:proofErr w:type="spellStart"/>
      <w:r w:rsidR="00600861" w:rsidRPr="00600861">
        <w:t>eNB</w:t>
      </w:r>
      <w:proofErr w:type="spellEnd"/>
      <w:r w:rsidR="00600861" w:rsidRPr="00600861">
        <w:t xml:space="preserve"> does not know the exact MCS and/or allocation of the NR, a real NR PHR does not tell anything more than the reference PHR unless NR never change the MCS and/or allocation. On the other hand, the two RATs can have some prior agreement on </w:t>
      </w:r>
      <w:r w:rsidR="00360FC6">
        <w:t>the</w:t>
      </w:r>
      <w:r w:rsidR="00600861" w:rsidRPr="00600861">
        <w:t xml:space="preserve"> range of MCS and resource allocation if the two cannot coordinate in real time. In this case reference PHR is as good as a real PHR. </w:t>
      </w:r>
      <w:r w:rsidR="00600861">
        <w:t xml:space="preserve">In addition, </w:t>
      </w:r>
      <w:r w:rsidR="00600861" w:rsidRPr="00600861">
        <w:t>reference PHR is much easier to calculate because it does not dependent on MCS and resource allocation</w:t>
      </w:r>
      <w:r w:rsidR="00600861">
        <w:t xml:space="preserve">, which </w:t>
      </w:r>
      <w:r w:rsidR="00600861" w:rsidRPr="00600861">
        <w:t xml:space="preserve">helps a lot in NR </w:t>
      </w:r>
      <w:r w:rsidR="00600861">
        <w:t>implementation</w:t>
      </w:r>
      <w:r w:rsidR="00600861" w:rsidRPr="00600861">
        <w:t xml:space="preserve"> because NR can take a fixed </w:t>
      </w:r>
      <w:r w:rsidR="00600861">
        <w:t xml:space="preserve">time to calculate PH </w:t>
      </w:r>
      <w:r w:rsidR="00600861" w:rsidRPr="00600861">
        <w:t xml:space="preserve">for reporting to LTE. </w:t>
      </w:r>
    </w:p>
    <w:p w14:paraId="67A2B44C" w14:textId="77777777" w:rsidR="00600861" w:rsidRDefault="00600861" w:rsidP="00883FB8">
      <w:r>
        <w:t>To summarize, we have the following observation</w:t>
      </w:r>
    </w:p>
    <w:p w14:paraId="25605038" w14:textId="15421711" w:rsidR="00600861" w:rsidRPr="00600861" w:rsidRDefault="00600861" w:rsidP="00883FB8">
      <w:pPr>
        <w:rPr>
          <w:b/>
          <w:i/>
        </w:rPr>
      </w:pPr>
      <w:r w:rsidRPr="00600861">
        <w:rPr>
          <w:b/>
          <w:i/>
        </w:rPr>
        <w:t xml:space="preserve">Observation </w:t>
      </w:r>
      <w:r w:rsidR="002A4AEA">
        <w:rPr>
          <w:b/>
          <w:i/>
        </w:rPr>
        <w:t>3</w:t>
      </w:r>
      <w:r w:rsidRPr="00600861">
        <w:rPr>
          <w:b/>
          <w:i/>
        </w:rPr>
        <w:t>: In EN-DC, PHR based on a</w:t>
      </w:r>
      <w:r w:rsidR="00360FC6">
        <w:rPr>
          <w:b/>
          <w:i/>
        </w:rPr>
        <w:t>n</w:t>
      </w:r>
      <w:r w:rsidRPr="00600861">
        <w:rPr>
          <w:b/>
          <w:i/>
        </w:rPr>
        <w:t xml:space="preserve"> </w:t>
      </w:r>
      <w:r w:rsidR="00360FC6">
        <w:rPr>
          <w:b/>
          <w:i/>
        </w:rPr>
        <w:t>actual</w:t>
      </w:r>
      <w:r w:rsidRPr="00600861">
        <w:rPr>
          <w:b/>
          <w:i/>
        </w:rPr>
        <w:t xml:space="preserve"> transmission and </w:t>
      </w:r>
      <w:r w:rsidR="00360FC6">
        <w:rPr>
          <w:b/>
          <w:i/>
        </w:rPr>
        <w:t xml:space="preserve">PHR </w:t>
      </w:r>
      <w:r w:rsidRPr="00600861">
        <w:rPr>
          <w:b/>
          <w:i/>
        </w:rPr>
        <w:t>on a reference transmission provide similar amount</w:t>
      </w:r>
      <w:r w:rsidR="00360FC6">
        <w:rPr>
          <w:b/>
          <w:i/>
        </w:rPr>
        <w:t xml:space="preserve"> of</w:t>
      </w:r>
      <w:r w:rsidRPr="00600861">
        <w:rPr>
          <w:b/>
          <w:i/>
        </w:rPr>
        <w:t xml:space="preserve"> information to the Network but the latter is easier in implementation.</w:t>
      </w:r>
    </w:p>
    <w:p w14:paraId="2C13E40B" w14:textId="1220538A" w:rsidR="00576592" w:rsidRDefault="00576592" w:rsidP="00284CD4">
      <w:pPr>
        <w:pStyle w:val="Default"/>
        <w:rPr>
          <w:sz w:val="20"/>
          <w:szCs w:val="20"/>
          <w:lang w:val="en-GB"/>
        </w:rPr>
      </w:pPr>
    </w:p>
    <w:p w14:paraId="5E855939" w14:textId="1E779A10" w:rsidR="000350EC" w:rsidRDefault="000350EC" w:rsidP="00576592">
      <w:pPr>
        <w:pStyle w:val="Default"/>
        <w:rPr>
          <w:b/>
          <w:i/>
          <w:sz w:val="20"/>
          <w:szCs w:val="20"/>
          <w:lang w:val="en-GB"/>
        </w:rPr>
      </w:pPr>
    </w:p>
    <w:p w14:paraId="6D5E291B" w14:textId="641AD5D3" w:rsidR="000350EC" w:rsidRPr="000350EC" w:rsidRDefault="000350EC" w:rsidP="000350EC">
      <w:pPr>
        <w:pStyle w:val="Heading2"/>
      </w:pPr>
      <w:r>
        <w:t>Reference Slot</w:t>
      </w:r>
    </w:p>
    <w:p w14:paraId="4A2499A7" w14:textId="2C21E04D" w:rsidR="00FF25DC" w:rsidRDefault="007556AB" w:rsidP="00FF25DC">
      <w:pPr>
        <w:pStyle w:val="Default"/>
        <w:rPr>
          <w:sz w:val="20"/>
          <w:szCs w:val="20"/>
          <w:lang w:val="en-GB"/>
        </w:rPr>
      </w:pPr>
      <w:r>
        <w:rPr>
          <w:sz w:val="20"/>
          <w:szCs w:val="20"/>
          <w:lang w:val="en-GB"/>
        </w:rPr>
        <w:t>W</w:t>
      </w:r>
      <w:r w:rsidRPr="007556AB">
        <w:rPr>
          <w:sz w:val="20"/>
          <w:szCs w:val="20"/>
          <w:lang w:val="en-GB"/>
        </w:rPr>
        <w:t>hen LTE and NR have different numerolog</w:t>
      </w:r>
      <w:r>
        <w:rPr>
          <w:sz w:val="20"/>
          <w:szCs w:val="20"/>
          <w:lang w:val="en-GB"/>
        </w:rPr>
        <w:t>ies</w:t>
      </w:r>
      <w:r w:rsidRPr="007556AB">
        <w:rPr>
          <w:sz w:val="20"/>
          <w:szCs w:val="20"/>
          <w:lang w:val="en-GB"/>
        </w:rPr>
        <w:t xml:space="preserve"> and/or are asynchronous</w:t>
      </w:r>
      <w:r>
        <w:rPr>
          <w:sz w:val="20"/>
          <w:szCs w:val="20"/>
          <w:lang w:val="en-GB"/>
        </w:rPr>
        <w:t>,</w:t>
      </w:r>
      <w:r w:rsidRPr="007556AB">
        <w:rPr>
          <w:sz w:val="20"/>
          <w:szCs w:val="20"/>
          <w:lang w:val="en-GB"/>
        </w:rPr>
        <w:t xml:space="preserve"> </w:t>
      </w:r>
      <w:r w:rsidR="009B4313">
        <w:rPr>
          <w:sz w:val="20"/>
          <w:szCs w:val="20"/>
          <w:lang w:val="en-GB"/>
        </w:rPr>
        <w:t xml:space="preserve">multiple NR slots can overlap with the LTE subframe that carries the PHR. Similarly, multiple LTE subframes can overlap with the NR slot that carries the PHR. In both cases, the reference slot and subframe are not defined. </w:t>
      </w:r>
      <w:r w:rsidR="00FF25DC">
        <w:rPr>
          <w:sz w:val="20"/>
          <w:szCs w:val="20"/>
          <w:lang w:val="en-GB"/>
        </w:rPr>
        <w:t xml:space="preserve">Following the principle of existing NR PHR, we can consider </w:t>
      </w:r>
      <w:r w:rsidR="00FF25DC" w:rsidRPr="00FF25DC">
        <w:rPr>
          <w:sz w:val="20"/>
          <w:szCs w:val="20"/>
          <w:lang w:val="en-GB"/>
        </w:rPr>
        <w:t>the first slot of an active NR BWP that starts within the LTE subframe carrying the PHR</w:t>
      </w:r>
      <w:r w:rsidR="00FF25DC" w:rsidRPr="00600861">
        <w:rPr>
          <w:b/>
          <w:i/>
          <w:sz w:val="20"/>
          <w:szCs w:val="20"/>
          <w:lang w:val="en-GB"/>
        </w:rPr>
        <w:t xml:space="preserve">. </w:t>
      </w:r>
      <w:r w:rsidR="00FF25DC">
        <w:rPr>
          <w:b/>
          <w:i/>
          <w:sz w:val="20"/>
          <w:szCs w:val="20"/>
          <w:lang w:val="en-GB"/>
        </w:rPr>
        <w:t xml:space="preserve"> </w:t>
      </w:r>
      <w:r w:rsidR="00FF25DC" w:rsidRPr="00FF25DC">
        <w:rPr>
          <w:sz w:val="20"/>
          <w:szCs w:val="20"/>
          <w:lang w:val="en-GB"/>
        </w:rPr>
        <w:t>Combining this with Alt 2, we have the following proposal:</w:t>
      </w:r>
    </w:p>
    <w:p w14:paraId="2AA6A52B" w14:textId="77777777" w:rsidR="002A4AEA" w:rsidRPr="00FF25DC" w:rsidRDefault="002A4AEA" w:rsidP="00FF25DC">
      <w:pPr>
        <w:pStyle w:val="Default"/>
        <w:rPr>
          <w:sz w:val="20"/>
          <w:szCs w:val="20"/>
          <w:lang w:val="en-GB"/>
        </w:rPr>
      </w:pPr>
    </w:p>
    <w:p w14:paraId="7F6E6A68" w14:textId="76A529DE" w:rsidR="00FF25DC" w:rsidRDefault="00FF25DC" w:rsidP="00FF25DC">
      <w:pPr>
        <w:pStyle w:val="Default"/>
        <w:rPr>
          <w:b/>
          <w:i/>
          <w:sz w:val="20"/>
          <w:szCs w:val="20"/>
          <w:lang w:val="en-GB"/>
        </w:rPr>
      </w:pPr>
      <w:r>
        <w:rPr>
          <w:b/>
          <w:i/>
          <w:sz w:val="20"/>
          <w:szCs w:val="20"/>
          <w:lang w:val="en-GB"/>
        </w:rPr>
        <w:t>Proposal 1: For NR PHR on LTE</w:t>
      </w:r>
    </w:p>
    <w:p w14:paraId="58756970" w14:textId="77777777" w:rsidR="00FF25DC" w:rsidRPr="009B4313" w:rsidRDefault="00FF25DC" w:rsidP="00FF25DC">
      <w:pPr>
        <w:pStyle w:val="Default"/>
        <w:rPr>
          <w:b/>
          <w:i/>
          <w:sz w:val="20"/>
          <w:szCs w:val="20"/>
          <w:lang w:val="en-GB"/>
        </w:rPr>
      </w:pPr>
    </w:p>
    <w:p w14:paraId="26C5DEC9" w14:textId="0EC4F246" w:rsidR="002A4AEA" w:rsidRPr="002A4AEA" w:rsidRDefault="00FF25DC" w:rsidP="00FF25DC">
      <w:pPr>
        <w:pStyle w:val="maintext"/>
        <w:numPr>
          <w:ilvl w:val="0"/>
          <w:numId w:val="41"/>
        </w:numPr>
        <w:snapToGrid w:val="0"/>
        <w:spacing w:before="0" w:after="0" w:line="240" w:lineRule="auto"/>
        <w:ind w:firstLineChars="0"/>
        <w:rPr>
          <w:rFonts w:eastAsia="SimSun"/>
          <w:b/>
          <w:i/>
          <w:szCs w:val="24"/>
          <w:lang w:val="en-US" w:eastAsia="zh-CN"/>
        </w:rPr>
      </w:pPr>
      <w:r w:rsidRPr="002A4AEA">
        <w:rPr>
          <w:rFonts w:eastAsia="SimSun"/>
          <w:b/>
          <w:i/>
          <w:szCs w:val="24"/>
          <w:lang w:val="en-US" w:eastAsia="zh-CN"/>
        </w:rPr>
        <w:t>The TPC accumulation, f(</w:t>
      </w:r>
      <w:proofErr w:type="spellStart"/>
      <w:proofErr w:type="gramStart"/>
      <w:r w:rsidRPr="002A4AEA">
        <w:rPr>
          <w:rFonts w:eastAsia="SimSun"/>
          <w:b/>
          <w:i/>
          <w:szCs w:val="24"/>
          <w:lang w:val="en-US" w:eastAsia="zh-CN"/>
        </w:rPr>
        <w:t>i,l</w:t>
      </w:r>
      <w:proofErr w:type="spellEnd"/>
      <w:proofErr w:type="gramEnd"/>
      <w:r w:rsidRPr="002A4AEA">
        <w:rPr>
          <w:rFonts w:eastAsia="SimSun"/>
          <w:b/>
          <w:i/>
          <w:szCs w:val="24"/>
          <w:lang w:val="en-US" w:eastAsia="zh-CN"/>
        </w:rPr>
        <w:t xml:space="preserve">), is allowed to include TPC commands up to any time in between 4ms prior to the LTE subframe that carries the PHR  and min{k2} slots prior to the </w:t>
      </w:r>
      <w:r w:rsidR="00952D3A">
        <w:rPr>
          <w:rFonts w:eastAsia="SimSun"/>
          <w:b/>
          <w:i/>
          <w:szCs w:val="24"/>
          <w:lang w:val="en-US" w:eastAsia="zh-CN"/>
        </w:rPr>
        <w:t xml:space="preserve">transmission </w:t>
      </w:r>
      <w:r w:rsidRPr="002A4AEA">
        <w:rPr>
          <w:rFonts w:eastAsia="SimSun"/>
          <w:b/>
          <w:i/>
          <w:szCs w:val="24"/>
          <w:lang w:val="en-US" w:eastAsia="zh-CN"/>
        </w:rPr>
        <w:t xml:space="preserve">that starts within the LTE subframe for </w:t>
      </w:r>
      <w:r w:rsidR="002A4AEA" w:rsidRPr="002A4AEA">
        <w:rPr>
          <w:rFonts w:eastAsia="SimSun"/>
          <w:b/>
          <w:i/>
          <w:szCs w:val="24"/>
          <w:lang w:val="en-US" w:eastAsia="zh-CN"/>
        </w:rPr>
        <w:t>the following cases:</w:t>
      </w:r>
    </w:p>
    <w:p w14:paraId="012E7840" w14:textId="7BDED9FF" w:rsidR="00FF25DC" w:rsidRPr="002A4AEA" w:rsidRDefault="002A4AEA" w:rsidP="002A4AEA">
      <w:pPr>
        <w:pStyle w:val="maintext"/>
        <w:numPr>
          <w:ilvl w:val="1"/>
          <w:numId w:val="41"/>
        </w:numPr>
        <w:snapToGrid w:val="0"/>
        <w:spacing w:before="0" w:after="0" w:line="240" w:lineRule="auto"/>
        <w:ind w:firstLineChars="0"/>
        <w:rPr>
          <w:rFonts w:eastAsia="SimSun"/>
          <w:b/>
          <w:i/>
          <w:szCs w:val="24"/>
          <w:lang w:val="en-US" w:eastAsia="zh-CN"/>
        </w:rPr>
      </w:pPr>
      <w:r w:rsidRPr="002A4AEA">
        <w:rPr>
          <w:rFonts w:eastAsia="SimSun"/>
          <w:b/>
          <w:i/>
          <w:szCs w:val="24"/>
          <w:lang w:val="en-US" w:eastAsia="zh-CN"/>
        </w:rPr>
        <w:t xml:space="preserve">Type 1 </w:t>
      </w:r>
      <w:r w:rsidR="00FF25DC" w:rsidRPr="002A4AEA">
        <w:rPr>
          <w:rFonts w:eastAsia="SimSun"/>
          <w:b/>
          <w:i/>
          <w:szCs w:val="24"/>
          <w:lang w:val="en-US" w:eastAsia="zh-CN"/>
        </w:rPr>
        <w:t xml:space="preserve">PHR based on a reference transmission </w:t>
      </w:r>
    </w:p>
    <w:p w14:paraId="49763277" w14:textId="0B76F054" w:rsidR="002A4AEA" w:rsidRPr="002A4AEA" w:rsidRDefault="002A4AEA" w:rsidP="002A4AEA">
      <w:pPr>
        <w:pStyle w:val="maintext"/>
        <w:numPr>
          <w:ilvl w:val="1"/>
          <w:numId w:val="41"/>
        </w:numPr>
        <w:snapToGrid w:val="0"/>
        <w:spacing w:before="0" w:after="0" w:line="240" w:lineRule="auto"/>
        <w:ind w:firstLineChars="0"/>
        <w:rPr>
          <w:rFonts w:eastAsia="SimSun"/>
          <w:b/>
          <w:i/>
          <w:szCs w:val="24"/>
          <w:lang w:val="en-US" w:eastAsia="zh-CN"/>
        </w:rPr>
      </w:pPr>
      <w:r w:rsidRPr="002A4AEA">
        <w:rPr>
          <w:rFonts w:eastAsia="SimSun"/>
          <w:b/>
          <w:i/>
          <w:szCs w:val="24"/>
          <w:lang w:val="en-US" w:eastAsia="zh-CN"/>
        </w:rPr>
        <w:t xml:space="preserve">Type 1 PHR based on </w:t>
      </w:r>
      <w:r w:rsidR="000A1404">
        <w:rPr>
          <w:rFonts w:eastAsia="SimSun"/>
          <w:b/>
          <w:i/>
          <w:szCs w:val="24"/>
          <w:lang w:val="en-US" w:eastAsia="zh-CN"/>
        </w:rPr>
        <w:t>an actual</w:t>
      </w:r>
      <w:r w:rsidRPr="002A4AEA">
        <w:rPr>
          <w:rFonts w:eastAsia="SimSun"/>
          <w:b/>
          <w:i/>
          <w:szCs w:val="24"/>
          <w:lang w:val="en-US" w:eastAsia="zh-CN"/>
        </w:rPr>
        <w:t xml:space="preserve"> configured PUSCH transmission</w:t>
      </w:r>
    </w:p>
    <w:p w14:paraId="2BD7C737" w14:textId="77777777" w:rsidR="000A1404" w:rsidRDefault="002A4AEA" w:rsidP="002A4AEA">
      <w:pPr>
        <w:pStyle w:val="maintext"/>
        <w:numPr>
          <w:ilvl w:val="1"/>
          <w:numId w:val="41"/>
        </w:numPr>
        <w:snapToGrid w:val="0"/>
        <w:spacing w:before="0" w:after="0" w:line="240" w:lineRule="auto"/>
        <w:ind w:firstLineChars="0"/>
        <w:rPr>
          <w:rFonts w:eastAsia="SimSun"/>
          <w:b/>
          <w:i/>
          <w:szCs w:val="24"/>
          <w:lang w:val="en-US" w:eastAsia="zh-CN"/>
        </w:rPr>
      </w:pPr>
      <w:r w:rsidRPr="002A4AEA">
        <w:rPr>
          <w:rFonts w:eastAsia="SimSun"/>
          <w:b/>
          <w:i/>
          <w:szCs w:val="24"/>
          <w:lang w:val="en-US" w:eastAsia="zh-CN"/>
        </w:rPr>
        <w:t xml:space="preserve">Type 3 PHR based on a </w:t>
      </w:r>
      <w:r w:rsidR="000A1404" w:rsidRPr="002A4AEA">
        <w:rPr>
          <w:rFonts w:eastAsia="SimSun"/>
          <w:b/>
          <w:i/>
          <w:szCs w:val="24"/>
          <w:lang w:val="en-US" w:eastAsia="zh-CN"/>
        </w:rPr>
        <w:t xml:space="preserve">reference transmission </w:t>
      </w:r>
    </w:p>
    <w:p w14:paraId="10AC4ACC" w14:textId="37F4252F" w:rsidR="002A4AEA" w:rsidRPr="002A4AEA" w:rsidRDefault="000A1404" w:rsidP="002A4AEA">
      <w:pPr>
        <w:pStyle w:val="maintext"/>
        <w:numPr>
          <w:ilvl w:val="1"/>
          <w:numId w:val="41"/>
        </w:numPr>
        <w:snapToGrid w:val="0"/>
        <w:spacing w:before="0" w:after="0" w:line="240" w:lineRule="auto"/>
        <w:ind w:firstLineChars="0"/>
        <w:rPr>
          <w:rFonts w:eastAsia="SimSun"/>
          <w:b/>
          <w:i/>
          <w:szCs w:val="24"/>
          <w:lang w:val="en-US" w:eastAsia="zh-CN"/>
        </w:rPr>
      </w:pPr>
      <w:r>
        <w:rPr>
          <w:rFonts w:eastAsia="SimSun"/>
          <w:b/>
          <w:i/>
          <w:szCs w:val="24"/>
          <w:lang w:eastAsia="zh-CN"/>
        </w:rPr>
        <w:t>Type 3 PHR based on an actual s</w:t>
      </w:r>
      <w:r w:rsidR="002A4AEA" w:rsidRPr="002A4AEA">
        <w:rPr>
          <w:rFonts w:eastAsia="SimSun"/>
          <w:b/>
          <w:i/>
          <w:szCs w:val="24"/>
          <w:lang w:eastAsia="zh-CN"/>
        </w:rPr>
        <w:t>emi-persistent or periodic SRS transmission</w:t>
      </w:r>
    </w:p>
    <w:p w14:paraId="523CFB62" w14:textId="6AC0CABC" w:rsidR="00FF25DC" w:rsidRPr="002A4AEA" w:rsidRDefault="00FF25DC" w:rsidP="00FF25DC">
      <w:pPr>
        <w:pStyle w:val="maintext"/>
        <w:snapToGrid w:val="0"/>
        <w:spacing w:before="0" w:after="0" w:line="240" w:lineRule="auto"/>
        <w:ind w:left="720" w:firstLineChars="0" w:firstLine="0"/>
        <w:rPr>
          <w:rFonts w:eastAsia="SimSun"/>
          <w:b/>
          <w:i/>
          <w:szCs w:val="24"/>
          <w:lang w:val="en-US" w:eastAsia="zh-CN"/>
        </w:rPr>
      </w:pPr>
      <w:r w:rsidRPr="002A4AEA">
        <w:rPr>
          <w:rFonts w:eastAsia="SimSun"/>
          <w:b/>
          <w:i/>
          <w:szCs w:val="24"/>
          <w:lang w:val="en-US" w:eastAsia="zh-CN"/>
        </w:rPr>
        <w:t>.</w:t>
      </w:r>
    </w:p>
    <w:p w14:paraId="0884CCFA" w14:textId="6CEE829B" w:rsidR="00FF25DC" w:rsidRPr="002A4AEA" w:rsidRDefault="002A4AEA" w:rsidP="00FF25DC">
      <w:pPr>
        <w:numPr>
          <w:ilvl w:val="0"/>
          <w:numId w:val="41"/>
        </w:numPr>
        <w:overflowPunct/>
        <w:autoSpaceDE/>
        <w:autoSpaceDN/>
        <w:adjustRightInd/>
        <w:spacing w:after="0"/>
        <w:textAlignment w:val="auto"/>
        <w:rPr>
          <w:b/>
          <w:i/>
          <w:lang w:eastAsia="zh-CN"/>
        </w:rPr>
      </w:pPr>
      <w:r w:rsidRPr="002A4AEA">
        <w:rPr>
          <w:b/>
          <w:i/>
          <w:lang w:eastAsia="zh-CN"/>
        </w:rPr>
        <w:t>I</w:t>
      </w:r>
      <w:r w:rsidR="00FF25DC" w:rsidRPr="002A4AEA">
        <w:rPr>
          <w:b/>
          <w:i/>
          <w:lang w:eastAsia="zh-CN"/>
        </w:rPr>
        <w:t>t is up to the UE to decide the PHR is based on a reference transmission or real transmission</w:t>
      </w:r>
      <w:r w:rsidR="00952D3A">
        <w:rPr>
          <w:b/>
          <w:i/>
          <w:lang w:eastAsia="zh-CN"/>
        </w:rPr>
        <w:t xml:space="preserve"> in a slot</w:t>
      </w:r>
      <w:r w:rsidR="00952D3A" w:rsidRPr="00952D3A">
        <w:rPr>
          <w:b/>
          <w:i/>
          <w:szCs w:val="24"/>
          <w:lang w:eastAsia="zh-CN"/>
        </w:rPr>
        <w:t xml:space="preserve"> </w:t>
      </w:r>
      <w:r w:rsidR="00952D3A" w:rsidRPr="002A4AEA">
        <w:rPr>
          <w:b/>
          <w:i/>
          <w:szCs w:val="24"/>
          <w:lang w:eastAsia="zh-CN"/>
        </w:rPr>
        <w:t xml:space="preserve">that starts within the LTE subframe </w:t>
      </w:r>
      <w:r w:rsidR="00952D3A">
        <w:rPr>
          <w:b/>
          <w:i/>
          <w:szCs w:val="24"/>
          <w:lang w:eastAsia="zh-CN"/>
        </w:rPr>
        <w:t>that carries the PHR</w:t>
      </w:r>
      <w:r w:rsidR="00FF25DC" w:rsidRPr="002A4AEA">
        <w:rPr>
          <w:b/>
          <w:i/>
          <w:lang w:eastAsia="zh-CN"/>
        </w:rPr>
        <w:t>.</w:t>
      </w:r>
    </w:p>
    <w:p w14:paraId="145D6192" w14:textId="611AAD82" w:rsidR="009B4313" w:rsidRDefault="009B4313" w:rsidP="00284CD4">
      <w:pPr>
        <w:pStyle w:val="Default"/>
        <w:rPr>
          <w:sz w:val="20"/>
          <w:szCs w:val="20"/>
          <w:lang w:val="en-GB"/>
        </w:rPr>
      </w:pPr>
    </w:p>
    <w:p w14:paraId="54E4C4F5" w14:textId="51B71756" w:rsidR="009B4313" w:rsidRDefault="009B4313" w:rsidP="00284CD4">
      <w:pPr>
        <w:pStyle w:val="Default"/>
        <w:rPr>
          <w:sz w:val="20"/>
          <w:szCs w:val="20"/>
          <w:lang w:val="en-GB"/>
        </w:rPr>
      </w:pPr>
    </w:p>
    <w:p w14:paraId="1BBCB76F" w14:textId="77777777" w:rsidR="00DC4ADC" w:rsidRDefault="00DC4ADC" w:rsidP="005C5548">
      <w:pPr>
        <w:pStyle w:val="Default"/>
        <w:rPr>
          <w:b/>
          <w:i/>
          <w:sz w:val="20"/>
          <w:szCs w:val="20"/>
          <w:lang w:val="en-GB"/>
        </w:rPr>
      </w:pPr>
    </w:p>
    <w:p w14:paraId="3A9F8A15" w14:textId="7F8AAC2B" w:rsidR="00762531" w:rsidRDefault="00762531" w:rsidP="001E4FCB">
      <w:pPr>
        <w:pStyle w:val="Default"/>
        <w:rPr>
          <w:sz w:val="20"/>
          <w:szCs w:val="20"/>
          <w:lang w:val="en-GB"/>
        </w:rPr>
      </w:pPr>
    </w:p>
    <w:p w14:paraId="7D7E3419" w14:textId="10699170" w:rsidR="00535B74" w:rsidRDefault="00535B74" w:rsidP="00762531">
      <w:pPr>
        <w:pStyle w:val="Heading1"/>
        <w:rPr>
          <w:color w:val="000000" w:themeColor="text1"/>
        </w:rPr>
      </w:pPr>
      <w:r w:rsidRPr="00535B74">
        <w:rPr>
          <w:color w:val="000000" w:themeColor="text1"/>
        </w:rPr>
        <w:t>Conclusions</w:t>
      </w:r>
    </w:p>
    <w:p w14:paraId="1D1E6A04" w14:textId="43DDC84C" w:rsidR="005F4825" w:rsidRDefault="00DC4ADC" w:rsidP="00535B74">
      <w:pPr>
        <w:rPr>
          <w:lang w:val="en-GB"/>
        </w:rPr>
      </w:pPr>
      <w:r>
        <w:rPr>
          <w:lang w:val="en-GB"/>
        </w:rPr>
        <w:t>In this contribution, w</w:t>
      </w:r>
      <w:r w:rsidR="00B90615">
        <w:rPr>
          <w:lang w:val="en-GB"/>
        </w:rPr>
        <w:t xml:space="preserve">e have </w:t>
      </w:r>
      <w:r w:rsidR="00790F46">
        <w:rPr>
          <w:lang w:val="en-GB"/>
        </w:rPr>
        <w:t xml:space="preserve">discussed </w:t>
      </w:r>
      <w:r w:rsidR="002A4AEA">
        <w:rPr>
          <w:lang w:val="en-GB"/>
        </w:rPr>
        <w:t>two alternatives for NR PHR on LTE</w:t>
      </w:r>
      <w:r w:rsidR="005F4825">
        <w:rPr>
          <w:lang w:val="en-GB"/>
        </w:rPr>
        <w:t xml:space="preserve"> </w:t>
      </w:r>
      <w:r w:rsidR="002A4AEA">
        <w:rPr>
          <w:lang w:val="en-GB"/>
        </w:rPr>
        <w:t xml:space="preserve">identified in [2] </w:t>
      </w:r>
      <w:r w:rsidR="005F4825">
        <w:rPr>
          <w:lang w:val="en-GB"/>
        </w:rPr>
        <w:t>and</w:t>
      </w:r>
      <w:r w:rsidR="002A4AEA">
        <w:rPr>
          <w:lang w:val="en-GB"/>
        </w:rPr>
        <w:t xml:space="preserve"> also included above</w:t>
      </w:r>
      <w:r w:rsidR="00900E97">
        <w:rPr>
          <w:lang w:val="en-GB"/>
        </w:rPr>
        <w:t xml:space="preserve"> with </w:t>
      </w:r>
      <w:r w:rsidR="005F4825">
        <w:rPr>
          <w:lang w:val="en-GB"/>
        </w:rPr>
        <w:t>the following observations:</w:t>
      </w:r>
    </w:p>
    <w:p w14:paraId="020972D4" w14:textId="13E9A35E" w:rsidR="00790F46" w:rsidRDefault="00790F46" w:rsidP="00790F46">
      <w:pPr>
        <w:rPr>
          <w:b/>
          <w:i/>
        </w:rPr>
      </w:pPr>
      <w:r w:rsidRPr="0003063A">
        <w:rPr>
          <w:b/>
          <w:i/>
        </w:rPr>
        <w:t xml:space="preserve">Observation 1: There </w:t>
      </w:r>
      <w:r>
        <w:rPr>
          <w:b/>
          <w:i/>
        </w:rPr>
        <w:t>is often</w:t>
      </w:r>
      <w:r w:rsidRPr="0003063A">
        <w:rPr>
          <w:b/>
          <w:i/>
        </w:rPr>
        <w:t xml:space="preserve"> not enough processing time for an LTE UL transmission to carry the PHR of a configured NR UL </w:t>
      </w:r>
      <w:r>
        <w:rPr>
          <w:b/>
          <w:i/>
        </w:rPr>
        <w:t xml:space="preserve">transmission </w:t>
      </w:r>
      <w:r w:rsidRPr="0003063A">
        <w:rPr>
          <w:b/>
          <w:i/>
        </w:rPr>
        <w:t>that overlaps with the LTE transmission, regardless when the NR transmission is configured.</w:t>
      </w:r>
    </w:p>
    <w:p w14:paraId="70551D1C" w14:textId="77777777" w:rsidR="002A4AEA" w:rsidRPr="00B31907" w:rsidRDefault="002A4AEA" w:rsidP="002A4AEA">
      <w:pPr>
        <w:rPr>
          <w:b/>
          <w:i/>
        </w:rPr>
      </w:pPr>
      <w:r w:rsidRPr="00B31907">
        <w:rPr>
          <w:b/>
          <w:i/>
        </w:rPr>
        <w:t xml:space="preserve">Observation 2: </w:t>
      </w:r>
    </w:p>
    <w:p w14:paraId="6E4CE7F1" w14:textId="77777777" w:rsidR="00CF7F9F" w:rsidRPr="006C389D" w:rsidRDefault="00CF7F9F" w:rsidP="00CF7F9F">
      <w:pPr>
        <w:pStyle w:val="ListParagraph"/>
        <w:numPr>
          <w:ilvl w:val="0"/>
          <w:numId w:val="45"/>
        </w:numPr>
        <w:rPr>
          <w:rFonts w:ascii="Times New Roman" w:hAnsi="Times New Roman"/>
          <w:b/>
          <w:i/>
          <w:sz w:val="20"/>
          <w:szCs w:val="20"/>
        </w:rPr>
      </w:pPr>
      <w:r w:rsidRPr="006C389D">
        <w:rPr>
          <w:rFonts w:ascii="Times New Roman" w:hAnsi="Times New Roman"/>
          <w:b/>
          <w:i/>
          <w:sz w:val="20"/>
          <w:szCs w:val="20"/>
        </w:rPr>
        <w:t xml:space="preserve">The TPC accumulation timeline in Alt 2 can provide more up-to-date information on power control than that in Alt 1 from Network scheduling point of view. </w:t>
      </w:r>
    </w:p>
    <w:p w14:paraId="176B0695" w14:textId="1688B494" w:rsidR="00CF7F9F" w:rsidRPr="006C389D" w:rsidRDefault="00CF7F9F" w:rsidP="00CF7F9F">
      <w:pPr>
        <w:pStyle w:val="ListParagraph"/>
        <w:numPr>
          <w:ilvl w:val="0"/>
          <w:numId w:val="45"/>
        </w:numPr>
        <w:rPr>
          <w:rFonts w:ascii="Times New Roman" w:hAnsi="Times New Roman"/>
          <w:b/>
          <w:i/>
          <w:sz w:val="20"/>
          <w:szCs w:val="20"/>
        </w:rPr>
      </w:pPr>
      <w:r w:rsidRPr="006C389D">
        <w:rPr>
          <w:rFonts w:ascii="Times New Roman" w:hAnsi="Times New Roman"/>
          <w:b/>
          <w:i/>
          <w:sz w:val="20"/>
          <w:szCs w:val="20"/>
        </w:rPr>
        <w:t>Alt. 1 can impose significant implementation complexity while Alt.2 does not.</w:t>
      </w:r>
    </w:p>
    <w:p w14:paraId="15845295" w14:textId="77777777" w:rsidR="006C389D" w:rsidRPr="00B31907" w:rsidRDefault="006C389D" w:rsidP="006C389D">
      <w:pPr>
        <w:pStyle w:val="ListParagraph"/>
        <w:rPr>
          <w:b/>
          <w:i/>
        </w:rPr>
      </w:pPr>
    </w:p>
    <w:p w14:paraId="6C0973EB" w14:textId="08B879C4" w:rsidR="002A4AEA" w:rsidRPr="002A4AEA" w:rsidRDefault="002A4AEA" w:rsidP="002A4AEA">
      <w:pPr>
        <w:rPr>
          <w:b/>
          <w:i/>
        </w:rPr>
      </w:pPr>
      <w:r w:rsidRPr="002A4AEA">
        <w:rPr>
          <w:b/>
          <w:i/>
        </w:rPr>
        <w:t>Observation 3: In EN-DC, PHR based on a</w:t>
      </w:r>
      <w:r w:rsidR="006C389D">
        <w:rPr>
          <w:b/>
          <w:i/>
        </w:rPr>
        <w:t>n</w:t>
      </w:r>
      <w:r w:rsidRPr="002A4AEA">
        <w:rPr>
          <w:b/>
          <w:i/>
        </w:rPr>
        <w:t xml:space="preserve"> </w:t>
      </w:r>
      <w:r w:rsidR="006C389D">
        <w:rPr>
          <w:b/>
          <w:i/>
        </w:rPr>
        <w:t>actual</w:t>
      </w:r>
      <w:r w:rsidRPr="002A4AEA">
        <w:rPr>
          <w:b/>
          <w:i/>
        </w:rPr>
        <w:t xml:space="preserve"> transmission and </w:t>
      </w:r>
      <w:r w:rsidR="006C389D">
        <w:rPr>
          <w:b/>
          <w:i/>
        </w:rPr>
        <w:t xml:space="preserve">PHR </w:t>
      </w:r>
      <w:r w:rsidRPr="002A4AEA">
        <w:rPr>
          <w:b/>
          <w:i/>
        </w:rPr>
        <w:t xml:space="preserve">on a reference transmission provide similar amount information to the Network but the latter </w:t>
      </w:r>
      <w:r w:rsidR="006C389D">
        <w:rPr>
          <w:b/>
          <w:i/>
        </w:rPr>
        <w:t>allows</w:t>
      </w:r>
      <w:r w:rsidRPr="002A4AEA">
        <w:rPr>
          <w:b/>
          <w:i/>
        </w:rPr>
        <w:t xml:space="preserve"> easier implementation.</w:t>
      </w:r>
    </w:p>
    <w:p w14:paraId="052D135C" w14:textId="227DDDFC" w:rsidR="005F4825" w:rsidRPr="002A4AEA" w:rsidRDefault="002A4AEA" w:rsidP="00790F46">
      <w:r w:rsidRPr="002A4AEA">
        <w:t>Based on the above observations, we propose to adopt Alt 2, which when combined with NR reference slot is as below.</w:t>
      </w:r>
    </w:p>
    <w:p w14:paraId="51B9C139" w14:textId="1309F381" w:rsidR="002A4AEA" w:rsidRDefault="002A4AEA" w:rsidP="002A4AEA">
      <w:pPr>
        <w:pStyle w:val="Default"/>
        <w:rPr>
          <w:b/>
          <w:i/>
          <w:sz w:val="20"/>
          <w:szCs w:val="20"/>
          <w:lang w:val="en-GB"/>
        </w:rPr>
      </w:pPr>
      <w:r w:rsidRPr="002A4AEA">
        <w:rPr>
          <w:b/>
          <w:i/>
          <w:sz w:val="20"/>
          <w:szCs w:val="20"/>
          <w:u w:val="single"/>
          <w:lang w:val="en-GB"/>
        </w:rPr>
        <w:t>Proposal 1</w:t>
      </w:r>
      <w:r>
        <w:rPr>
          <w:b/>
          <w:i/>
          <w:sz w:val="20"/>
          <w:szCs w:val="20"/>
          <w:lang w:val="en-GB"/>
        </w:rPr>
        <w:t>: For NR PHR on LTE</w:t>
      </w:r>
    </w:p>
    <w:p w14:paraId="4CC67997" w14:textId="77777777" w:rsidR="00CF7F9F" w:rsidRPr="009B4313" w:rsidRDefault="00CF7F9F" w:rsidP="00CF7F9F">
      <w:pPr>
        <w:pStyle w:val="Default"/>
        <w:rPr>
          <w:b/>
          <w:i/>
          <w:sz w:val="20"/>
          <w:szCs w:val="20"/>
          <w:lang w:val="en-GB"/>
        </w:rPr>
      </w:pPr>
    </w:p>
    <w:p w14:paraId="753375FC" w14:textId="77777777" w:rsidR="00CF7F9F" w:rsidRPr="002A4AEA" w:rsidRDefault="00CF7F9F" w:rsidP="00CF7F9F">
      <w:pPr>
        <w:pStyle w:val="maintext"/>
        <w:numPr>
          <w:ilvl w:val="0"/>
          <w:numId w:val="41"/>
        </w:numPr>
        <w:snapToGrid w:val="0"/>
        <w:spacing w:before="0" w:after="0" w:line="240" w:lineRule="auto"/>
        <w:ind w:firstLineChars="0"/>
        <w:rPr>
          <w:rFonts w:eastAsia="SimSun"/>
          <w:b/>
          <w:i/>
          <w:szCs w:val="24"/>
          <w:lang w:val="en-US" w:eastAsia="zh-CN"/>
        </w:rPr>
      </w:pPr>
      <w:r w:rsidRPr="002A4AEA">
        <w:rPr>
          <w:rFonts w:eastAsia="SimSun"/>
          <w:b/>
          <w:i/>
          <w:szCs w:val="24"/>
          <w:lang w:val="en-US" w:eastAsia="zh-CN"/>
        </w:rPr>
        <w:t>The TPC accumulation, f(</w:t>
      </w:r>
      <w:proofErr w:type="spellStart"/>
      <w:proofErr w:type="gramStart"/>
      <w:r w:rsidRPr="002A4AEA">
        <w:rPr>
          <w:rFonts w:eastAsia="SimSun"/>
          <w:b/>
          <w:i/>
          <w:szCs w:val="24"/>
          <w:lang w:val="en-US" w:eastAsia="zh-CN"/>
        </w:rPr>
        <w:t>i,l</w:t>
      </w:r>
      <w:proofErr w:type="spellEnd"/>
      <w:proofErr w:type="gramEnd"/>
      <w:r w:rsidRPr="002A4AEA">
        <w:rPr>
          <w:rFonts w:eastAsia="SimSun"/>
          <w:b/>
          <w:i/>
          <w:szCs w:val="24"/>
          <w:lang w:val="en-US" w:eastAsia="zh-CN"/>
        </w:rPr>
        <w:t xml:space="preserve">), is allowed to include TPC commands up to any time in between 4ms prior to the LTE subframe that carries the PHR  and min{k2} slots prior to the </w:t>
      </w:r>
      <w:r>
        <w:rPr>
          <w:rFonts w:eastAsia="SimSun"/>
          <w:b/>
          <w:i/>
          <w:szCs w:val="24"/>
          <w:lang w:val="en-US" w:eastAsia="zh-CN"/>
        </w:rPr>
        <w:t xml:space="preserve">transmission </w:t>
      </w:r>
      <w:r w:rsidRPr="002A4AEA">
        <w:rPr>
          <w:rFonts w:eastAsia="SimSun"/>
          <w:b/>
          <w:i/>
          <w:szCs w:val="24"/>
          <w:lang w:val="en-US" w:eastAsia="zh-CN"/>
        </w:rPr>
        <w:t>that starts within the LTE subframe for the following cases:</w:t>
      </w:r>
    </w:p>
    <w:p w14:paraId="52424679" w14:textId="77777777" w:rsidR="00CF7F9F" w:rsidRPr="002A4AEA" w:rsidRDefault="00CF7F9F" w:rsidP="00CF7F9F">
      <w:pPr>
        <w:pStyle w:val="maintext"/>
        <w:numPr>
          <w:ilvl w:val="1"/>
          <w:numId w:val="41"/>
        </w:numPr>
        <w:snapToGrid w:val="0"/>
        <w:spacing w:before="0" w:after="0" w:line="240" w:lineRule="auto"/>
        <w:ind w:firstLineChars="0"/>
        <w:rPr>
          <w:rFonts w:eastAsia="SimSun"/>
          <w:b/>
          <w:i/>
          <w:szCs w:val="24"/>
          <w:lang w:val="en-US" w:eastAsia="zh-CN"/>
        </w:rPr>
      </w:pPr>
      <w:r w:rsidRPr="002A4AEA">
        <w:rPr>
          <w:rFonts w:eastAsia="SimSun"/>
          <w:b/>
          <w:i/>
          <w:szCs w:val="24"/>
          <w:lang w:val="en-US" w:eastAsia="zh-CN"/>
        </w:rPr>
        <w:t xml:space="preserve">Type 1 PHR based on a reference transmission </w:t>
      </w:r>
    </w:p>
    <w:p w14:paraId="53966899" w14:textId="77777777" w:rsidR="00CF7F9F" w:rsidRPr="002A4AEA" w:rsidRDefault="00CF7F9F" w:rsidP="00CF7F9F">
      <w:pPr>
        <w:pStyle w:val="maintext"/>
        <w:numPr>
          <w:ilvl w:val="1"/>
          <w:numId w:val="41"/>
        </w:numPr>
        <w:snapToGrid w:val="0"/>
        <w:spacing w:before="0" w:after="0" w:line="240" w:lineRule="auto"/>
        <w:ind w:firstLineChars="0"/>
        <w:rPr>
          <w:rFonts w:eastAsia="SimSun"/>
          <w:b/>
          <w:i/>
          <w:szCs w:val="24"/>
          <w:lang w:val="en-US" w:eastAsia="zh-CN"/>
        </w:rPr>
      </w:pPr>
      <w:r w:rsidRPr="002A4AEA">
        <w:rPr>
          <w:rFonts w:eastAsia="SimSun"/>
          <w:b/>
          <w:i/>
          <w:szCs w:val="24"/>
          <w:lang w:val="en-US" w:eastAsia="zh-CN"/>
        </w:rPr>
        <w:t xml:space="preserve">Type 1 PHR based on </w:t>
      </w:r>
      <w:r>
        <w:rPr>
          <w:rFonts w:eastAsia="SimSun"/>
          <w:b/>
          <w:i/>
          <w:szCs w:val="24"/>
          <w:lang w:val="en-US" w:eastAsia="zh-CN"/>
        </w:rPr>
        <w:t>an actual</w:t>
      </w:r>
      <w:r w:rsidRPr="002A4AEA">
        <w:rPr>
          <w:rFonts w:eastAsia="SimSun"/>
          <w:b/>
          <w:i/>
          <w:szCs w:val="24"/>
          <w:lang w:val="en-US" w:eastAsia="zh-CN"/>
        </w:rPr>
        <w:t xml:space="preserve"> configured PUSCH transmission</w:t>
      </w:r>
    </w:p>
    <w:p w14:paraId="4C378ADA" w14:textId="77777777" w:rsidR="00CF7F9F" w:rsidRDefault="00CF7F9F" w:rsidP="00CF7F9F">
      <w:pPr>
        <w:pStyle w:val="maintext"/>
        <w:numPr>
          <w:ilvl w:val="1"/>
          <w:numId w:val="41"/>
        </w:numPr>
        <w:snapToGrid w:val="0"/>
        <w:spacing w:before="0" w:after="0" w:line="240" w:lineRule="auto"/>
        <w:ind w:firstLineChars="0"/>
        <w:rPr>
          <w:rFonts w:eastAsia="SimSun"/>
          <w:b/>
          <w:i/>
          <w:szCs w:val="24"/>
          <w:lang w:val="en-US" w:eastAsia="zh-CN"/>
        </w:rPr>
      </w:pPr>
      <w:r w:rsidRPr="002A4AEA">
        <w:rPr>
          <w:rFonts w:eastAsia="SimSun"/>
          <w:b/>
          <w:i/>
          <w:szCs w:val="24"/>
          <w:lang w:val="en-US" w:eastAsia="zh-CN"/>
        </w:rPr>
        <w:t xml:space="preserve">Type 3 PHR based on a reference transmission </w:t>
      </w:r>
    </w:p>
    <w:p w14:paraId="09D69BCC" w14:textId="77777777" w:rsidR="00CF7F9F" w:rsidRPr="002A4AEA" w:rsidRDefault="00CF7F9F" w:rsidP="00CF7F9F">
      <w:pPr>
        <w:pStyle w:val="maintext"/>
        <w:numPr>
          <w:ilvl w:val="1"/>
          <w:numId w:val="41"/>
        </w:numPr>
        <w:snapToGrid w:val="0"/>
        <w:spacing w:before="0" w:after="0" w:line="240" w:lineRule="auto"/>
        <w:ind w:firstLineChars="0"/>
        <w:rPr>
          <w:rFonts w:eastAsia="SimSun"/>
          <w:b/>
          <w:i/>
          <w:szCs w:val="24"/>
          <w:lang w:val="en-US" w:eastAsia="zh-CN"/>
        </w:rPr>
      </w:pPr>
      <w:r>
        <w:rPr>
          <w:rFonts w:eastAsia="SimSun"/>
          <w:b/>
          <w:i/>
          <w:szCs w:val="24"/>
          <w:lang w:eastAsia="zh-CN"/>
        </w:rPr>
        <w:t>Type 3 PHR based on an actual s</w:t>
      </w:r>
      <w:r w:rsidRPr="002A4AEA">
        <w:rPr>
          <w:rFonts w:eastAsia="SimSun"/>
          <w:b/>
          <w:i/>
          <w:szCs w:val="24"/>
          <w:lang w:eastAsia="zh-CN"/>
        </w:rPr>
        <w:t>emi-persistent or periodic SRS transmission</w:t>
      </w:r>
    </w:p>
    <w:p w14:paraId="0923A958" w14:textId="77777777" w:rsidR="00CF7F9F" w:rsidRPr="002A4AEA" w:rsidRDefault="00CF7F9F" w:rsidP="00CF7F9F">
      <w:pPr>
        <w:pStyle w:val="maintext"/>
        <w:snapToGrid w:val="0"/>
        <w:spacing w:before="0" w:after="0" w:line="240" w:lineRule="auto"/>
        <w:ind w:left="720" w:firstLineChars="0" w:firstLine="0"/>
        <w:rPr>
          <w:rFonts w:eastAsia="SimSun"/>
          <w:b/>
          <w:i/>
          <w:szCs w:val="24"/>
          <w:lang w:val="en-US" w:eastAsia="zh-CN"/>
        </w:rPr>
      </w:pPr>
      <w:r w:rsidRPr="002A4AEA">
        <w:rPr>
          <w:rFonts w:eastAsia="SimSun"/>
          <w:b/>
          <w:i/>
          <w:szCs w:val="24"/>
          <w:lang w:val="en-US" w:eastAsia="zh-CN"/>
        </w:rPr>
        <w:t>.</w:t>
      </w:r>
    </w:p>
    <w:p w14:paraId="38244C57" w14:textId="77777777" w:rsidR="00CF7F9F" w:rsidRPr="002A4AEA" w:rsidRDefault="00CF7F9F" w:rsidP="00CF7F9F">
      <w:pPr>
        <w:numPr>
          <w:ilvl w:val="0"/>
          <w:numId w:val="41"/>
        </w:numPr>
        <w:overflowPunct/>
        <w:autoSpaceDE/>
        <w:autoSpaceDN/>
        <w:adjustRightInd/>
        <w:spacing w:after="0"/>
        <w:textAlignment w:val="auto"/>
        <w:rPr>
          <w:b/>
          <w:i/>
          <w:lang w:eastAsia="zh-CN"/>
        </w:rPr>
      </w:pPr>
      <w:r w:rsidRPr="002A4AEA">
        <w:rPr>
          <w:b/>
          <w:i/>
          <w:lang w:eastAsia="zh-CN"/>
        </w:rPr>
        <w:t>It is up to the UE to decide the PHR is based on a reference transmission or real transmission</w:t>
      </w:r>
      <w:r>
        <w:rPr>
          <w:b/>
          <w:i/>
          <w:lang w:eastAsia="zh-CN"/>
        </w:rPr>
        <w:t xml:space="preserve"> in a slot</w:t>
      </w:r>
      <w:r w:rsidRPr="00952D3A">
        <w:rPr>
          <w:b/>
          <w:i/>
          <w:szCs w:val="24"/>
          <w:lang w:eastAsia="zh-CN"/>
        </w:rPr>
        <w:t xml:space="preserve"> </w:t>
      </w:r>
      <w:r w:rsidRPr="002A4AEA">
        <w:rPr>
          <w:b/>
          <w:i/>
          <w:szCs w:val="24"/>
          <w:lang w:eastAsia="zh-CN"/>
        </w:rPr>
        <w:t xml:space="preserve">that starts within the LTE subframe </w:t>
      </w:r>
      <w:r>
        <w:rPr>
          <w:b/>
          <w:i/>
          <w:szCs w:val="24"/>
          <w:lang w:eastAsia="zh-CN"/>
        </w:rPr>
        <w:t>that carries the PHR</w:t>
      </w:r>
      <w:r w:rsidRPr="002A4AEA">
        <w:rPr>
          <w:b/>
          <w:i/>
          <w:lang w:eastAsia="zh-CN"/>
        </w:rPr>
        <w:t>.</w:t>
      </w:r>
    </w:p>
    <w:p w14:paraId="5E4E98F2" w14:textId="26EE393D" w:rsidR="006D073A" w:rsidRPr="003D5F4B" w:rsidRDefault="006D073A" w:rsidP="00535B74">
      <w:pPr>
        <w:rPr>
          <w:lang w:val="en-GB"/>
        </w:rPr>
      </w:pPr>
    </w:p>
    <w:bookmarkEnd w:id="4"/>
    <w:bookmarkEnd w:id="5"/>
    <w:p w14:paraId="64099BEB" w14:textId="69A78F6C" w:rsidR="002F77EB" w:rsidRPr="00F0497A" w:rsidRDefault="00E523F3" w:rsidP="008D0DF4">
      <w:pPr>
        <w:pStyle w:val="Heading1"/>
        <w:spacing w:before="480"/>
        <w:jc w:val="both"/>
        <w:rPr>
          <w:lang w:val="en-US"/>
        </w:rPr>
      </w:pPr>
      <w:r w:rsidRPr="000A64D8">
        <w:rPr>
          <w:lang w:val="en-US"/>
        </w:rPr>
        <w:t>References</w:t>
      </w:r>
      <w:bookmarkStart w:id="6" w:name="_Ref457730460"/>
      <w:bookmarkStart w:id="7" w:name="_Ref450735844"/>
      <w:bookmarkStart w:id="8" w:name="_Ref450342757"/>
      <w:r w:rsidR="002F77EB" w:rsidRPr="005D74B7">
        <w:rPr>
          <w:rFonts w:hint="eastAsia"/>
        </w:rPr>
        <w:tab/>
      </w:r>
    </w:p>
    <w:p w14:paraId="7EDAB6B7" w14:textId="43527C35" w:rsidR="003B5638" w:rsidRDefault="009C610E" w:rsidP="006A0D18">
      <w:pPr>
        <w:pStyle w:val="ListParagraph"/>
        <w:numPr>
          <w:ilvl w:val="0"/>
          <w:numId w:val="2"/>
        </w:numPr>
        <w:jc w:val="both"/>
        <w:rPr>
          <w:rFonts w:ascii="Times New Roman" w:eastAsia="SimSun" w:hAnsi="Times New Roman"/>
          <w:sz w:val="20"/>
          <w:szCs w:val="20"/>
        </w:rPr>
      </w:pPr>
      <w:bookmarkStart w:id="9" w:name="_Ref461383190"/>
      <w:r w:rsidRPr="009C610E">
        <w:rPr>
          <w:rFonts w:ascii="Times New Roman" w:hAnsi="Times New Roman"/>
          <w:sz w:val="20"/>
          <w:szCs w:val="20"/>
        </w:rPr>
        <w:t>R</w:t>
      </w:r>
      <w:r w:rsidR="00DD2942">
        <w:rPr>
          <w:rFonts w:ascii="Times New Roman" w:hAnsi="Times New Roman"/>
          <w:sz w:val="20"/>
          <w:szCs w:val="20"/>
        </w:rPr>
        <w:t>1</w:t>
      </w:r>
      <w:r w:rsidRPr="009C610E">
        <w:rPr>
          <w:rFonts w:ascii="Times New Roman" w:hAnsi="Times New Roman"/>
          <w:sz w:val="20"/>
          <w:szCs w:val="20"/>
        </w:rPr>
        <w:t>-1</w:t>
      </w:r>
      <w:r w:rsidR="00DD2942">
        <w:rPr>
          <w:rFonts w:ascii="Times New Roman" w:hAnsi="Times New Roman"/>
          <w:sz w:val="20"/>
          <w:szCs w:val="20"/>
        </w:rPr>
        <w:t>901487</w:t>
      </w:r>
      <w:r w:rsidR="004316C1">
        <w:rPr>
          <w:rFonts w:ascii="Times New Roman" w:hAnsi="Times New Roman"/>
          <w:sz w:val="20"/>
          <w:szCs w:val="20"/>
        </w:rPr>
        <w:t xml:space="preserve"> </w:t>
      </w:r>
      <w:r w:rsidR="004316C1" w:rsidRPr="004316C1">
        <w:rPr>
          <w:rFonts w:ascii="Times New Roman" w:hAnsi="Times New Roman"/>
          <w:sz w:val="20"/>
          <w:szCs w:val="20"/>
        </w:rPr>
        <w:t>(</w:t>
      </w:r>
      <w:r w:rsidR="004316C1" w:rsidRPr="004316C1">
        <w:rPr>
          <w:rFonts w:ascii="Times New Roman" w:hAnsi="Times New Roman"/>
          <w:bCs/>
          <w:sz w:val="20"/>
          <w:szCs w:val="20"/>
        </w:rPr>
        <w:t>R2-1819101)</w:t>
      </w:r>
      <w:r w:rsidRPr="004316C1">
        <w:rPr>
          <w:rFonts w:ascii="Times New Roman" w:hAnsi="Times New Roman"/>
          <w:sz w:val="20"/>
          <w:szCs w:val="20"/>
        </w:rPr>
        <w:t>,</w:t>
      </w:r>
      <w:r w:rsidRPr="009C610E">
        <w:rPr>
          <w:rFonts w:ascii="Times New Roman" w:hAnsi="Times New Roman"/>
          <w:sz w:val="20"/>
          <w:szCs w:val="20"/>
        </w:rPr>
        <w:t xml:space="preserve"> “L</w:t>
      </w:r>
      <w:r w:rsidRPr="009C610E">
        <w:rPr>
          <w:rFonts w:ascii="Times New Roman" w:hAnsi="Times New Roman"/>
          <w:bCs/>
          <w:sz w:val="20"/>
          <w:szCs w:val="20"/>
        </w:rPr>
        <w:t xml:space="preserve">S on PHR procedure in dual-connectivity” </w:t>
      </w:r>
      <w:r w:rsidR="003B5638" w:rsidRPr="009C610E">
        <w:rPr>
          <w:rFonts w:ascii="Times New Roman" w:eastAsia="SimSun" w:hAnsi="Times New Roman"/>
          <w:sz w:val="20"/>
          <w:szCs w:val="20"/>
        </w:rPr>
        <w:t xml:space="preserve">3GPP </w:t>
      </w:r>
      <w:r w:rsidR="004316C1">
        <w:rPr>
          <w:rFonts w:ascii="Times New Roman" w:eastAsia="SimSun" w:hAnsi="Times New Roman"/>
          <w:sz w:val="20"/>
          <w:szCs w:val="20"/>
        </w:rPr>
        <w:t xml:space="preserve">RN1 #96, Feb. 2019. </w:t>
      </w:r>
    </w:p>
    <w:p w14:paraId="788BA13A" w14:textId="57110AF2" w:rsidR="009C610E" w:rsidRPr="009C610E" w:rsidRDefault="00900E97" w:rsidP="006A0D18">
      <w:pPr>
        <w:pStyle w:val="ListParagraph"/>
        <w:numPr>
          <w:ilvl w:val="0"/>
          <w:numId w:val="2"/>
        </w:numPr>
        <w:jc w:val="both"/>
        <w:rPr>
          <w:rFonts w:ascii="Times New Roman" w:eastAsia="SimSun" w:hAnsi="Times New Roman"/>
          <w:sz w:val="20"/>
          <w:szCs w:val="20"/>
        </w:rPr>
      </w:pPr>
      <w:r>
        <w:rPr>
          <w:rFonts w:ascii="Times New Roman" w:hAnsi="Times New Roman"/>
          <w:sz w:val="20"/>
          <w:szCs w:val="20"/>
        </w:rPr>
        <w:t xml:space="preserve">Chairman’s note, 3GPP RAN1 #96bis, </w:t>
      </w:r>
      <w:proofErr w:type="gramStart"/>
      <w:r>
        <w:rPr>
          <w:rFonts w:ascii="Times New Roman" w:hAnsi="Times New Roman"/>
          <w:sz w:val="20"/>
          <w:szCs w:val="20"/>
        </w:rPr>
        <w:t>April,</w:t>
      </w:r>
      <w:proofErr w:type="gramEnd"/>
      <w:r>
        <w:rPr>
          <w:rFonts w:ascii="Times New Roman" w:hAnsi="Times New Roman"/>
          <w:sz w:val="20"/>
          <w:szCs w:val="20"/>
        </w:rPr>
        <w:t xml:space="preserve"> 2019.</w:t>
      </w:r>
    </w:p>
    <w:p w14:paraId="7ABF8F86" w14:textId="77777777" w:rsidR="006D073A" w:rsidRDefault="006D073A" w:rsidP="00AE384B">
      <w:pPr>
        <w:pStyle w:val="ListParagraph"/>
        <w:ind w:left="567"/>
        <w:jc w:val="both"/>
        <w:rPr>
          <w:rFonts w:ascii="Times New Roman" w:eastAsia="SimSun" w:hAnsi="Times New Roman"/>
          <w:sz w:val="20"/>
        </w:rPr>
      </w:pPr>
    </w:p>
    <w:p w14:paraId="5A8E6FD8" w14:textId="24B11238" w:rsidR="00B90615" w:rsidRDefault="00B90615" w:rsidP="00B90615">
      <w:pPr>
        <w:jc w:val="both"/>
      </w:pPr>
    </w:p>
    <w:bookmarkEnd w:id="6"/>
    <w:bookmarkEnd w:id="7"/>
    <w:bookmarkEnd w:id="8"/>
    <w:bookmarkEnd w:id="9"/>
    <w:p w14:paraId="45D5CA0F" w14:textId="77777777" w:rsidR="00CE53DF" w:rsidRDefault="00CE53DF" w:rsidP="00DA2934">
      <w:pPr>
        <w:pStyle w:val="B1"/>
        <w:ind w:left="852"/>
      </w:pPr>
    </w:p>
    <w:sectPr w:rsidR="00CE53DF"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C455E" w14:textId="77777777" w:rsidR="004D3D36" w:rsidRDefault="004D3D36">
      <w:r>
        <w:separator/>
      </w:r>
    </w:p>
  </w:endnote>
  <w:endnote w:type="continuationSeparator" w:id="0">
    <w:p w14:paraId="6FAD16BD" w14:textId="77777777" w:rsidR="004D3D36" w:rsidRDefault="004D3D36">
      <w:r>
        <w:continuationSeparator/>
      </w:r>
    </w:p>
  </w:endnote>
  <w:endnote w:type="continuationNotice" w:id="1">
    <w:p w14:paraId="7AE61E08" w14:textId="77777777" w:rsidR="004D3D36" w:rsidRDefault="004D3D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D7042" w14:textId="77777777" w:rsidR="004D3D36" w:rsidRDefault="004D3D36">
      <w:r>
        <w:separator/>
      </w:r>
    </w:p>
  </w:footnote>
  <w:footnote w:type="continuationSeparator" w:id="0">
    <w:p w14:paraId="08531ACF" w14:textId="77777777" w:rsidR="004D3D36" w:rsidRDefault="004D3D36">
      <w:r>
        <w:continuationSeparator/>
      </w:r>
    </w:p>
  </w:footnote>
  <w:footnote w:type="continuationNotice" w:id="1">
    <w:p w14:paraId="3ED2F727" w14:textId="77777777" w:rsidR="004D3D36" w:rsidRDefault="004D3D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647CD"/>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643DE7"/>
    <w:multiLevelType w:val="hybridMultilevel"/>
    <w:tmpl w:val="12F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7C6D23"/>
    <w:multiLevelType w:val="hybridMultilevel"/>
    <w:tmpl w:val="2FC4C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134FD"/>
    <w:multiLevelType w:val="hybridMultilevel"/>
    <w:tmpl w:val="C14E7EBC"/>
    <w:lvl w:ilvl="0" w:tplc="8C1A2E28">
      <w:start w:val="1"/>
      <w:numFmt w:val="decimal"/>
      <w:lvlText w:val="%1."/>
      <w:lvlJc w:val="left"/>
      <w:pPr>
        <w:ind w:left="720" w:hanging="360"/>
      </w:pPr>
      <w:rPr>
        <w:rFonts w:cs="Times New Roman"/>
        <w:color w:val="171717"/>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15:restartNumberingAfterBreak="0">
    <w:nsid w:val="1D4C30DC"/>
    <w:multiLevelType w:val="hybridMultilevel"/>
    <w:tmpl w:val="6BBC67CA"/>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8" w15:restartNumberingAfterBreak="0">
    <w:nsid w:val="21740C6F"/>
    <w:multiLevelType w:val="hybridMultilevel"/>
    <w:tmpl w:val="6282A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7E2CC8"/>
    <w:multiLevelType w:val="multilevel"/>
    <w:tmpl w:val="7E923E4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8B2634"/>
    <w:multiLevelType w:val="hybridMultilevel"/>
    <w:tmpl w:val="C478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C417AC"/>
    <w:multiLevelType w:val="hybridMultilevel"/>
    <w:tmpl w:val="CA328216"/>
    <w:lvl w:ilvl="0" w:tplc="920C7F54">
      <w:numFmt w:val="bullet"/>
      <w:lvlText w:val="-"/>
      <w:lvlJc w:val="left"/>
      <w:pPr>
        <w:ind w:left="1080" w:hanging="360"/>
      </w:pPr>
      <w:rPr>
        <w:rFonts w:ascii="Times" w:hAnsi="Times" w:hint="default"/>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172823"/>
    <w:multiLevelType w:val="hybridMultilevel"/>
    <w:tmpl w:val="E100600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E053BFE"/>
    <w:multiLevelType w:val="hybridMultilevel"/>
    <w:tmpl w:val="87228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7C046F"/>
    <w:multiLevelType w:val="hybridMultilevel"/>
    <w:tmpl w:val="B0263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A826A6"/>
    <w:multiLevelType w:val="hybridMultilevel"/>
    <w:tmpl w:val="D744F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BD5046"/>
    <w:multiLevelType w:val="hybridMultilevel"/>
    <w:tmpl w:val="9A52D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D20BCC"/>
    <w:multiLevelType w:val="hybridMultilevel"/>
    <w:tmpl w:val="A21A3420"/>
    <w:lvl w:ilvl="0" w:tplc="A47CA6A6">
      <w:start w:val="1"/>
      <w:numFmt w:val="decimal"/>
      <w:lvlText w:val="A%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3C6BEA"/>
    <w:multiLevelType w:val="hybridMultilevel"/>
    <w:tmpl w:val="84041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ED65B3"/>
    <w:multiLevelType w:val="hybridMultilevel"/>
    <w:tmpl w:val="9D264F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3C2E4A"/>
    <w:multiLevelType w:val="hybridMultilevel"/>
    <w:tmpl w:val="E25EC7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462CF1"/>
    <w:multiLevelType w:val="hybridMultilevel"/>
    <w:tmpl w:val="73EA3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ED7708D"/>
    <w:multiLevelType w:val="hybridMultilevel"/>
    <w:tmpl w:val="64220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510741"/>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3B5920"/>
    <w:multiLevelType w:val="hybridMultilevel"/>
    <w:tmpl w:val="CD782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0"/>
  </w:num>
  <w:num w:numId="3">
    <w:abstractNumId w:val="4"/>
  </w:num>
  <w:num w:numId="4">
    <w:abstractNumId w:val="20"/>
  </w:num>
  <w:num w:numId="5">
    <w:abstractNumId w:val="17"/>
  </w:num>
  <w:num w:numId="6">
    <w:abstractNumId w:val="25"/>
  </w:num>
  <w:num w:numId="7">
    <w:abstractNumId w:val="43"/>
  </w:num>
  <w:num w:numId="8">
    <w:abstractNumId w:val="26"/>
  </w:num>
  <w:num w:numId="9">
    <w:abstractNumId w:val="23"/>
  </w:num>
  <w:num w:numId="10">
    <w:abstractNumId w:val="41"/>
  </w:num>
  <w:num w:numId="11">
    <w:abstractNumId w:val="22"/>
  </w:num>
  <w:num w:numId="12">
    <w:abstractNumId w:val="35"/>
  </w:num>
  <w:num w:numId="13">
    <w:abstractNumId w:val="24"/>
  </w:num>
  <w:num w:numId="14">
    <w:abstractNumId w:val="15"/>
  </w:num>
  <w:num w:numId="15">
    <w:abstractNumId w:val="10"/>
  </w:num>
  <w:num w:numId="16">
    <w:abstractNumId w:val="11"/>
  </w:num>
  <w:num w:numId="17">
    <w:abstractNumId w:val="29"/>
  </w:num>
  <w:num w:numId="18">
    <w:abstractNumId w:val="7"/>
  </w:num>
  <w:num w:numId="19">
    <w:abstractNumId w:val="19"/>
  </w:num>
  <w:num w:numId="20">
    <w:abstractNumId w:val="34"/>
  </w:num>
  <w:num w:numId="21">
    <w:abstractNumId w:val="40"/>
  </w:num>
  <w:num w:numId="22">
    <w:abstractNumId w:val="3"/>
  </w:num>
  <w:num w:numId="23">
    <w:abstractNumId w:val="33"/>
  </w:num>
  <w:num w:numId="24">
    <w:abstractNumId w:val="31"/>
  </w:num>
  <w:num w:numId="25">
    <w:abstractNumId w:val="21"/>
  </w:num>
  <w:num w:numId="26">
    <w:abstractNumId w:val="1"/>
  </w:num>
  <w:num w:numId="27">
    <w:abstractNumId w:val="37"/>
  </w:num>
  <w:num w:numId="28">
    <w:abstractNumId w:val="16"/>
  </w:num>
  <w:num w:numId="29">
    <w:abstractNumId w:val="5"/>
  </w:num>
  <w:num w:numId="30">
    <w:abstractNumId w:val="18"/>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12"/>
  </w:num>
  <w:num w:numId="34">
    <w:abstractNumId w:val="13"/>
  </w:num>
  <w:num w:numId="35">
    <w:abstractNumId w:val="39"/>
  </w:num>
  <w:num w:numId="36">
    <w:abstractNumId w:val="2"/>
  </w:num>
  <w:num w:numId="37">
    <w:abstractNumId w:val="9"/>
  </w:num>
  <w:num w:numId="38">
    <w:abstractNumId w:val="8"/>
  </w:num>
  <w:num w:numId="39">
    <w:abstractNumId w:val="32"/>
  </w:num>
  <w:num w:numId="40">
    <w:abstractNumId w:val="27"/>
  </w:num>
  <w:num w:numId="41">
    <w:abstractNumId w:val="36"/>
  </w:num>
  <w:num w:numId="42">
    <w:abstractNumId w:val="42"/>
  </w:num>
  <w:num w:numId="43">
    <w:abstractNumId w:val="30"/>
  </w:num>
  <w:num w:numId="44">
    <w:abstractNumId w:val="38"/>
  </w:num>
  <w:num w:numId="45">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619"/>
    <w:rsid w:val="0003063A"/>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0EC"/>
    <w:rsid w:val="0003540B"/>
    <w:rsid w:val="00035574"/>
    <w:rsid w:val="00035B0B"/>
    <w:rsid w:val="00035B9C"/>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9E5"/>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6A"/>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404"/>
    <w:rsid w:val="000A1AD3"/>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B40"/>
    <w:rsid w:val="000F3F2F"/>
    <w:rsid w:val="000F42EA"/>
    <w:rsid w:val="000F46BB"/>
    <w:rsid w:val="000F4CAF"/>
    <w:rsid w:val="000F4D2F"/>
    <w:rsid w:val="000F4F44"/>
    <w:rsid w:val="000F53CB"/>
    <w:rsid w:val="000F53FC"/>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1EA7"/>
    <w:rsid w:val="00152066"/>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A19"/>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1CE8"/>
    <w:rsid w:val="00222052"/>
    <w:rsid w:val="002222A4"/>
    <w:rsid w:val="00222AB8"/>
    <w:rsid w:val="00222B25"/>
    <w:rsid w:val="00222FE7"/>
    <w:rsid w:val="00223833"/>
    <w:rsid w:val="00223ACD"/>
    <w:rsid w:val="0022490A"/>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E9"/>
    <w:rsid w:val="002350AB"/>
    <w:rsid w:val="00235581"/>
    <w:rsid w:val="00235698"/>
    <w:rsid w:val="00235E6D"/>
    <w:rsid w:val="00236122"/>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CD4"/>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9D"/>
    <w:rsid w:val="002A2FB8"/>
    <w:rsid w:val="002A31FF"/>
    <w:rsid w:val="002A3668"/>
    <w:rsid w:val="002A3771"/>
    <w:rsid w:val="002A37C5"/>
    <w:rsid w:val="002A3AFD"/>
    <w:rsid w:val="002A3B12"/>
    <w:rsid w:val="002A4102"/>
    <w:rsid w:val="002A4918"/>
    <w:rsid w:val="002A4AEA"/>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4E7B"/>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2CC"/>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4B15"/>
    <w:rsid w:val="003252CE"/>
    <w:rsid w:val="0032556B"/>
    <w:rsid w:val="0032651E"/>
    <w:rsid w:val="003267A6"/>
    <w:rsid w:val="00326BA1"/>
    <w:rsid w:val="00326E89"/>
    <w:rsid w:val="003271E3"/>
    <w:rsid w:val="003272D0"/>
    <w:rsid w:val="003273DE"/>
    <w:rsid w:val="003278C7"/>
    <w:rsid w:val="0032793B"/>
    <w:rsid w:val="003279E4"/>
    <w:rsid w:val="00327AEA"/>
    <w:rsid w:val="00327D99"/>
    <w:rsid w:val="00327FA5"/>
    <w:rsid w:val="003308C4"/>
    <w:rsid w:val="00330C30"/>
    <w:rsid w:val="00330C4D"/>
    <w:rsid w:val="00330DE8"/>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0FC6"/>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D5B"/>
    <w:rsid w:val="003673AE"/>
    <w:rsid w:val="00370285"/>
    <w:rsid w:val="003704EE"/>
    <w:rsid w:val="00370880"/>
    <w:rsid w:val="00370EFD"/>
    <w:rsid w:val="00371137"/>
    <w:rsid w:val="003711C5"/>
    <w:rsid w:val="00371621"/>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CB5"/>
    <w:rsid w:val="00383D4B"/>
    <w:rsid w:val="00383DDB"/>
    <w:rsid w:val="00383F84"/>
    <w:rsid w:val="003842A8"/>
    <w:rsid w:val="00384747"/>
    <w:rsid w:val="003848D9"/>
    <w:rsid w:val="00384BC0"/>
    <w:rsid w:val="003852CC"/>
    <w:rsid w:val="003853F0"/>
    <w:rsid w:val="00385A70"/>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846"/>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74"/>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29E"/>
    <w:rsid w:val="0045169D"/>
    <w:rsid w:val="004518D5"/>
    <w:rsid w:val="00451B06"/>
    <w:rsid w:val="00451BEB"/>
    <w:rsid w:val="004520FE"/>
    <w:rsid w:val="0045224A"/>
    <w:rsid w:val="004527C0"/>
    <w:rsid w:val="00453871"/>
    <w:rsid w:val="00453DEF"/>
    <w:rsid w:val="004540AC"/>
    <w:rsid w:val="004543E4"/>
    <w:rsid w:val="004544E5"/>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3FD9"/>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3D36"/>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DDF"/>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CDC"/>
    <w:rsid w:val="00563FD2"/>
    <w:rsid w:val="0056434D"/>
    <w:rsid w:val="00564597"/>
    <w:rsid w:val="00564903"/>
    <w:rsid w:val="00564E6A"/>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33"/>
    <w:rsid w:val="00594FBB"/>
    <w:rsid w:val="00595032"/>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3A39"/>
    <w:rsid w:val="005A416C"/>
    <w:rsid w:val="005A4971"/>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0E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69B"/>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CA8"/>
    <w:rsid w:val="005D7E04"/>
    <w:rsid w:val="005E0082"/>
    <w:rsid w:val="005E06E1"/>
    <w:rsid w:val="005E0899"/>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9B"/>
    <w:rsid w:val="005F3955"/>
    <w:rsid w:val="005F3F7F"/>
    <w:rsid w:val="005F40E5"/>
    <w:rsid w:val="005F419B"/>
    <w:rsid w:val="005F4427"/>
    <w:rsid w:val="005F46D9"/>
    <w:rsid w:val="005F4825"/>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861"/>
    <w:rsid w:val="00600AAB"/>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085"/>
    <w:rsid w:val="00652599"/>
    <w:rsid w:val="00653217"/>
    <w:rsid w:val="0065327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21F"/>
    <w:rsid w:val="006874AE"/>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4D8"/>
    <w:rsid w:val="006A05EF"/>
    <w:rsid w:val="006A0717"/>
    <w:rsid w:val="006A0907"/>
    <w:rsid w:val="006A0942"/>
    <w:rsid w:val="006A0D18"/>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B5"/>
    <w:rsid w:val="006A4FF3"/>
    <w:rsid w:val="006A50D6"/>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89D"/>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BC9"/>
    <w:rsid w:val="006D1D0D"/>
    <w:rsid w:val="006D1DAC"/>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2E"/>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641"/>
    <w:rsid w:val="007047A7"/>
    <w:rsid w:val="007050A6"/>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269"/>
    <w:rsid w:val="0071371F"/>
    <w:rsid w:val="0071374D"/>
    <w:rsid w:val="00714065"/>
    <w:rsid w:val="00714186"/>
    <w:rsid w:val="00714312"/>
    <w:rsid w:val="00714796"/>
    <w:rsid w:val="00714D6A"/>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5C"/>
    <w:rsid w:val="00722B61"/>
    <w:rsid w:val="00722B72"/>
    <w:rsid w:val="00722BD3"/>
    <w:rsid w:val="00722E2F"/>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E5A"/>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3FB8"/>
    <w:rsid w:val="00884255"/>
    <w:rsid w:val="0088425B"/>
    <w:rsid w:val="00884AD8"/>
    <w:rsid w:val="00884B42"/>
    <w:rsid w:val="00884B7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3EA"/>
    <w:rsid w:val="0089193F"/>
    <w:rsid w:val="00891F63"/>
    <w:rsid w:val="00892253"/>
    <w:rsid w:val="008922DF"/>
    <w:rsid w:val="00893024"/>
    <w:rsid w:val="008935EA"/>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4BD"/>
    <w:rsid w:val="008A294D"/>
    <w:rsid w:val="008A2AAE"/>
    <w:rsid w:val="008A2EEF"/>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0E97"/>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690"/>
    <w:rsid w:val="0094376F"/>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2D3A"/>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4E34"/>
    <w:rsid w:val="00964E3C"/>
    <w:rsid w:val="00964E69"/>
    <w:rsid w:val="0096504D"/>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BAF"/>
    <w:rsid w:val="00982314"/>
    <w:rsid w:val="00982768"/>
    <w:rsid w:val="00982773"/>
    <w:rsid w:val="00982AB4"/>
    <w:rsid w:val="00982B3C"/>
    <w:rsid w:val="00982E67"/>
    <w:rsid w:val="00983007"/>
    <w:rsid w:val="00983061"/>
    <w:rsid w:val="00983223"/>
    <w:rsid w:val="0098354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313"/>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34"/>
    <w:rsid w:val="009C3D88"/>
    <w:rsid w:val="009C42A3"/>
    <w:rsid w:val="009C4B76"/>
    <w:rsid w:val="009C520B"/>
    <w:rsid w:val="009C5785"/>
    <w:rsid w:val="009C5874"/>
    <w:rsid w:val="009C5AD8"/>
    <w:rsid w:val="009C610E"/>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E4D"/>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80F"/>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52C"/>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B7"/>
    <w:rsid w:val="00B317EB"/>
    <w:rsid w:val="00B31907"/>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41B"/>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6D88"/>
    <w:rsid w:val="00B87324"/>
    <w:rsid w:val="00B87809"/>
    <w:rsid w:val="00B87C60"/>
    <w:rsid w:val="00B87F42"/>
    <w:rsid w:val="00B90165"/>
    <w:rsid w:val="00B90615"/>
    <w:rsid w:val="00B9076E"/>
    <w:rsid w:val="00B91356"/>
    <w:rsid w:val="00B91E9D"/>
    <w:rsid w:val="00B922C4"/>
    <w:rsid w:val="00B926E0"/>
    <w:rsid w:val="00B92AD4"/>
    <w:rsid w:val="00B92BF1"/>
    <w:rsid w:val="00B932E1"/>
    <w:rsid w:val="00B93C36"/>
    <w:rsid w:val="00B94054"/>
    <w:rsid w:val="00B94253"/>
    <w:rsid w:val="00B9436E"/>
    <w:rsid w:val="00B944BE"/>
    <w:rsid w:val="00B9462E"/>
    <w:rsid w:val="00B946E7"/>
    <w:rsid w:val="00B94759"/>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72F"/>
    <w:rsid w:val="00BE0C3B"/>
    <w:rsid w:val="00BE13B8"/>
    <w:rsid w:val="00BE197A"/>
    <w:rsid w:val="00BE1A06"/>
    <w:rsid w:val="00BE29E4"/>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F02E6"/>
    <w:rsid w:val="00BF0A66"/>
    <w:rsid w:val="00BF0E22"/>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15"/>
    <w:rsid w:val="00C4336B"/>
    <w:rsid w:val="00C439F0"/>
    <w:rsid w:val="00C43CE7"/>
    <w:rsid w:val="00C44189"/>
    <w:rsid w:val="00C447FB"/>
    <w:rsid w:val="00C44F96"/>
    <w:rsid w:val="00C44FF2"/>
    <w:rsid w:val="00C4587D"/>
    <w:rsid w:val="00C45C66"/>
    <w:rsid w:val="00C47053"/>
    <w:rsid w:val="00C470AA"/>
    <w:rsid w:val="00C4734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5D0"/>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CAB"/>
    <w:rsid w:val="00CC1D2E"/>
    <w:rsid w:val="00CC1E3E"/>
    <w:rsid w:val="00CC1E40"/>
    <w:rsid w:val="00CC27F5"/>
    <w:rsid w:val="00CC2D18"/>
    <w:rsid w:val="00CC2EFE"/>
    <w:rsid w:val="00CC32B0"/>
    <w:rsid w:val="00CC3D8D"/>
    <w:rsid w:val="00CC3E8C"/>
    <w:rsid w:val="00CC400F"/>
    <w:rsid w:val="00CC4365"/>
    <w:rsid w:val="00CC4600"/>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DC0"/>
    <w:rsid w:val="00CF3E2B"/>
    <w:rsid w:val="00CF3F01"/>
    <w:rsid w:val="00CF4050"/>
    <w:rsid w:val="00CF41AE"/>
    <w:rsid w:val="00CF495B"/>
    <w:rsid w:val="00CF4B3B"/>
    <w:rsid w:val="00CF4F02"/>
    <w:rsid w:val="00CF4F88"/>
    <w:rsid w:val="00CF5EE9"/>
    <w:rsid w:val="00CF6053"/>
    <w:rsid w:val="00CF605A"/>
    <w:rsid w:val="00CF61A3"/>
    <w:rsid w:val="00CF61D1"/>
    <w:rsid w:val="00CF6441"/>
    <w:rsid w:val="00CF66DE"/>
    <w:rsid w:val="00CF6848"/>
    <w:rsid w:val="00CF6AF3"/>
    <w:rsid w:val="00CF6C9A"/>
    <w:rsid w:val="00CF74F6"/>
    <w:rsid w:val="00CF76AE"/>
    <w:rsid w:val="00CF7CCF"/>
    <w:rsid w:val="00CF7D8D"/>
    <w:rsid w:val="00CF7F9F"/>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2D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9AA"/>
    <w:rsid w:val="00D42B71"/>
    <w:rsid w:val="00D42D5D"/>
    <w:rsid w:val="00D43888"/>
    <w:rsid w:val="00D4429F"/>
    <w:rsid w:val="00D445BC"/>
    <w:rsid w:val="00D44A5C"/>
    <w:rsid w:val="00D44EA0"/>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493"/>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D8D"/>
    <w:rsid w:val="00DC0F93"/>
    <w:rsid w:val="00DC1384"/>
    <w:rsid w:val="00DC1479"/>
    <w:rsid w:val="00DC1624"/>
    <w:rsid w:val="00DC1763"/>
    <w:rsid w:val="00DC1FCC"/>
    <w:rsid w:val="00DC22B7"/>
    <w:rsid w:val="00DC257F"/>
    <w:rsid w:val="00DC25BE"/>
    <w:rsid w:val="00DC2898"/>
    <w:rsid w:val="00DC28A6"/>
    <w:rsid w:val="00DC28EC"/>
    <w:rsid w:val="00DC2B97"/>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48A4"/>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10D2"/>
    <w:rsid w:val="00DE128B"/>
    <w:rsid w:val="00DE14DB"/>
    <w:rsid w:val="00DE1799"/>
    <w:rsid w:val="00DE20FB"/>
    <w:rsid w:val="00DE21CF"/>
    <w:rsid w:val="00DE279F"/>
    <w:rsid w:val="00DE2D4B"/>
    <w:rsid w:val="00DE2DDA"/>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17C"/>
    <w:rsid w:val="00E30517"/>
    <w:rsid w:val="00E3070A"/>
    <w:rsid w:val="00E30A72"/>
    <w:rsid w:val="00E30DB2"/>
    <w:rsid w:val="00E30E36"/>
    <w:rsid w:val="00E31506"/>
    <w:rsid w:val="00E3167F"/>
    <w:rsid w:val="00E3200D"/>
    <w:rsid w:val="00E32E0E"/>
    <w:rsid w:val="00E3305B"/>
    <w:rsid w:val="00E332A5"/>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1DC7"/>
    <w:rsid w:val="00E423C8"/>
    <w:rsid w:val="00E42532"/>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16D"/>
    <w:rsid w:val="00E810EC"/>
    <w:rsid w:val="00E8112C"/>
    <w:rsid w:val="00E81587"/>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6FA"/>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B2F"/>
    <w:rsid w:val="00ED4DDF"/>
    <w:rsid w:val="00ED4E3C"/>
    <w:rsid w:val="00ED4EEA"/>
    <w:rsid w:val="00ED5122"/>
    <w:rsid w:val="00ED54F7"/>
    <w:rsid w:val="00ED58F2"/>
    <w:rsid w:val="00ED5AA5"/>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1FA"/>
    <w:rsid w:val="00F10437"/>
    <w:rsid w:val="00F10465"/>
    <w:rsid w:val="00F10864"/>
    <w:rsid w:val="00F108E6"/>
    <w:rsid w:val="00F10E93"/>
    <w:rsid w:val="00F1165E"/>
    <w:rsid w:val="00F11CF5"/>
    <w:rsid w:val="00F12B3D"/>
    <w:rsid w:val="00F12F2E"/>
    <w:rsid w:val="00F131B6"/>
    <w:rsid w:val="00F13242"/>
    <w:rsid w:val="00F136B7"/>
    <w:rsid w:val="00F1403E"/>
    <w:rsid w:val="00F140FE"/>
    <w:rsid w:val="00F1415B"/>
    <w:rsid w:val="00F14FB4"/>
    <w:rsid w:val="00F165FF"/>
    <w:rsid w:val="00F16772"/>
    <w:rsid w:val="00F16BB1"/>
    <w:rsid w:val="00F17042"/>
    <w:rsid w:val="00F17A8F"/>
    <w:rsid w:val="00F17A9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C5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A6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5DC"/>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paragraph" w:customStyle="1" w:styleId="maintext">
    <w:name w:val="main text"/>
    <w:basedOn w:val="Normal"/>
    <w:link w:val="maintextChar"/>
    <w:qFormat/>
    <w:rsid w:val="00F17A9F"/>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F17A9F"/>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03020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1945396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 xsi:nil="true"/>
    <_dlc_DocIdUrl xmlns="c06861ca-3f08-4d07-bff7-bb15bac121f4">
      <Url xsi:nil="true"/>
      <Description xsi:nil="true"/>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4E78E665-0715-4B4E-9950-0B8A1A2B2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1597</Words>
  <Characters>9103</Characters>
  <Application>Microsoft Office Word</Application>
  <DocSecurity>0</DocSecurity>
  <Lines>75</Lines>
  <Paragraphs>21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TSG-RAN WG1 #84</vt:lpstr>
      <vt:lpstr>Introduction</vt:lpstr>
      <vt:lpstr>Discussions</vt:lpstr>
      <vt:lpstr>    TPC Accumulation</vt:lpstr>
      <vt:lpstr>    Real vs Reference PHR</vt:lpstr>
      <vt:lpstr>    Reference Slot</vt:lpstr>
      <vt:lpstr>Conclusions</vt:lpstr>
      <vt:lpstr>References	</vt:lpstr>
    </vt:vector>
  </TitlesOfParts>
  <Company>Qualcomm Inc.</Company>
  <LinksUpToDate>false</LinksUpToDate>
  <CharactersWithSpaces>10679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cp:revision>
  <cp:lastPrinted>2014-11-07T05:38:00Z</cp:lastPrinted>
  <dcterms:created xsi:type="dcterms:W3CDTF">2019-05-03T17:55:00Z</dcterms:created>
  <dcterms:modified xsi:type="dcterms:W3CDTF">2019-05-03T17:55:00Z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dee09be7-6715-472d-a3ca-cfacedcda97e</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